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8FEE" w14:textId="164E50DF" w:rsidR="00901197" w:rsidRPr="00DD6FA8" w:rsidRDefault="00401708" w:rsidP="00162656">
      <w:pPr>
        <w:tabs>
          <w:tab w:val="left" w:pos="6663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ACCOUNTING</w:t>
      </w:r>
    </w:p>
    <w:p w14:paraId="23CA9E92" w14:textId="77777777" w:rsidR="00162656" w:rsidRPr="00DD6FA8" w:rsidRDefault="00162656" w:rsidP="00162656">
      <w:pPr>
        <w:tabs>
          <w:tab w:val="left" w:pos="6663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0"/>
        <w:gridCol w:w="4912"/>
      </w:tblGrid>
      <w:tr w:rsidR="00AE7148" w:rsidRPr="00DD6FA8" w14:paraId="42669BE7" w14:textId="77777777" w:rsidTr="00901197">
        <w:tc>
          <w:tcPr>
            <w:tcW w:w="2537" w:type="pct"/>
          </w:tcPr>
          <w:p w14:paraId="6526C01C" w14:textId="77777777" w:rsidR="00AE7148" w:rsidRPr="00DD6FA8" w:rsidRDefault="00AE7148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>Course code</w:t>
            </w:r>
          </w:p>
        </w:tc>
        <w:tc>
          <w:tcPr>
            <w:tcW w:w="2463" w:type="pct"/>
          </w:tcPr>
          <w:p w14:paraId="1AA4E15E" w14:textId="578F9B22" w:rsidR="00AE7148" w:rsidRPr="00DD6FA8" w:rsidRDefault="00EB6890" w:rsidP="003164F1">
            <w:pPr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FIN</w:t>
            </w:r>
            <w:r w:rsidR="00C750D1"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="00316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18</w:t>
            </w:r>
          </w:p>
        </w:tc>
      </w:tr>
      <w:tr w:rsidR="00AE7148" w:rsidRPr="00DD6FA8" w14:paraId="74A9A9F0" w14:textId="77777777" w:rsidTr="00901197">
        <w:tc>
          <w:tcPr>
            <w:tcW w:w="2537" w:type="pct"/>
          </w:tcPr>
          <w:p w14:paraId="14A463FE" w14:textId="389F0406" w:rsidR="00AE7148" w:rsidRPr="00DD6FA8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 xml:space="preserve">Compulsory in the </w:t>
            </w:r>
            <w:proofErr w:type="spellStart"/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>programmes</w:t>
            </w:r>
            <w:proofErr w:type="spellEnd"/>
          </w:p>
        </w:tc>
        <w:tc>
          <w:tcPr>
            <w:tcW w:w="2463" w:type="pct"/>
          </w:tcPr>
          <w:p w14:paraId="019CBA74" w14:textId="5D9FC2C9" w:rsidR="00AE7148" w:rsidRPr="00A5390A" w:rsidRDefault="008F3077" w:rsidP="001B440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Advanced Financial Accounting</w:t>
            </w:r>
          </w:p>
        </w:tc>
      </w:tr>
      <w:tr w:rsidR="00B4316F" w:rsidRPr="00DD6FA8" w14:paraId="1FA633EE" w14:textId="77777777" w:rsidTr="00901197">
        <w:tc>
          <w:tcPr>
            <w:tcW w:w="2537" w:type="pct"/>
          </w:tcPr>
          <w:p w14:paraId="2BE94610" w14:textId="300BB536" w:rsidR="00AE7148" w:rsidRPr="00DD6FA8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>Level of studies</w:t>
            </w:r>
          </w:p>
        </w:tc>
        <w:tc>
          <w:tcPr>
            <w:tcW w:w="2463" w:type="pct"/>
          </w:tcPr>
          <w:p w14:paraId="2F31AC28" w14:textId="55CE99B3" w:rsidR="00AE7148" w:rsidRPr="00DD6FA8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Undergraduate</w:t>
            </w:r>
          </w:p>
        </w:tc>
      </w:tr>
      <w:tr w:rsidR="00F23989" w:rsidRPr="00DD6FA8" w14:paraId="509071A8" w14:textId="77777777" w:rsidTr="00901197">
        <w:tc>
          <w:tcPr>
            <w:tcW w:w="2537" w:type="pct"/>
          </w:tcPr>
          <w:p w14:paraId="4622EA2E" w14:textId="51955B0C" w:rsidR="00F23989" w:rsidRPr="00DD6FA8" w:rsidRDefault="00901197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>Number of credits</w:t>
            </w:r>
          </w:p>
        </w:tc>
        <w:tc>
          <w:tcPr>
            <w:tcW w:w="2463" w:type="pct"/>
          </w:tcPr>
          <w:p w14:paraId="447ED3CE" w14:textId="35C613E3" w:rsidR="00F23989" w:rsidRPr="00DD6FA8" w:rsidRDefault="00B4316F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6 ECTS (48 </w:t>
            </w:r>
            <w:r w:rsidR="00DD6FA8"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in-class</w:t>
            </w:r>
            <w:r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hours + </w:t>
            </w:r>
            <w:r w:rsid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6</w:t>
            </w:r>
            <w:r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consultation hours</w:t>
            </w:r>
            <w:r w:rsidR="00DD6FA8"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+ 2 exam hours</w:t>
            </w:r>
            <w:r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, 10</w:t>
            </w:r>
            <w:r w:rsidR="00DD6FA8"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>4</w:t>
            </w:r>
            <w:r w:rsidRPr="00DD6FA8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  <w:t xml:space="preserve"> individual work hours)</w:t>
            </w:r>
          </w:p>
        </w:tc>
      </w:tr>
      <w:tr w:rsidR="008F3077" w:rsidRPr="00DD6FA8" w14:paraId="42E072A5" w14:textId="77777777" w:rsidTr="00901197">
        <w:tc>
          <w:tcPr>
            <w:tcW w:w="2537" w:type="pct"/>
          </w:tcPr>
          <w:p w14:paraId="5065227B" w14:textId="334558F0" w:rsidR="008F3077" w:rsidRPr="00DD6FA8" w:rsidRDefault="008F3077" w:rsidP="008F3077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>Course coordinator (title and name)</w:t>
            </w:r>
          </w:p>
        </w:tc>
        <w:tc>
          <w:tcPr>
            <w:tcW w:w="2463" w:type="pct"/>
          </w:tcPr>
          <w:p w14:paraId="52E8AA77" w14:textId="1195E1CE" w:rsidR="008F3077" w:rsidRPr="00DD6FA8" w:rsidRDefault="008F3077" w:rsidP="008F3077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</w:rPr>
            </w:pPr>
            <w:r w:rsidRPr="005D2DDD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 xml:space="preserve">Dr. </w:t>
            </w:r>
            <w:r w:rsidRPr="008D205A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László Péter Lakatos</w:t>
            </w:r>
          </w:p>
        </w:tc>
      </w:tr>
      <w:tr w:rsidR="008F3077" w:rsidRPr="00DD6FA8" w14:paraId="4BFE1536" w14:textId="77777777" w:rsidTr="00901197">
        <w:tc>
          <w:tcPr>
            <w:tcW w:w="2537" w:type="pct"/>
          </w:tcPr>
          <w:p w14:paraId="379AEE7F" w14:textId="077E44D7" w:rsidR="008F3077" w:rsidRPr="00DD6FA8" w:rsidRDefault="008F3077" w:rsidP="008F3077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>Prerequisites</w:t>
            </w:r>
          </w:p>
        </w:tc>
        <w:tc>
          <w:tcPr>
            <w:tcW w:w="2463" w:type="pct"/>
          </w:tcPr>
          <w:p w14:paraId="4DBC4DB6" w14:textId="3E046784" w:rsidR="008F3077" w:rsidRPr="00DD6FA8" w:rsidRDefault="008F3077" w:rsidP="008F3077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5D2DDD">
              <w:rPr>
                <w:rFonts w:ascii="Arial" w:hAnsi="Arial" w:cs="Arial"/>
                <w:i/>
                <w:sz w:val="18"/>
                <w:szCs w:val="18"/>
                <w:lang w:val="en-GB"/>
              </w:rPr>
              <w:t>Financial Accounting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8F3077" w:rsidRPr="00DD6FA8" w14:paraId="3EAA7653" w14:textId="77777777" w:rsidTr="00901197">
        <w:trPr>
          <w:trHeight w:val="168"/>
        </w:trPr>
        <w:tc>
          <w:tcPr>
            <w:tcW w:w="2537" w:type="pct"/>
          </w:tcPr>
          <w:p w14:paraId="6D808724" w14:textId="0920B481" w:rsidR="008F3077" w:rsidRPr="00DD6FA8" w:rsidRDefault="008F3077" w:rsidP="008F3077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D6FA8">
              <w:rPr>
                <w:rStyle w:val="Bolds"/>
                <w:rFonts w:ascii="Arial" w:hAnsi="Arial" w:cs="Arial"/>
                <w:sz w:val="18"/>
                <w:szCs w:val="18"/>
              </w:rPr>
              <w:t>Language of instruction</w:t>
            </w:r>
          </w:p>
        </w:tc>
        <w:tc>
          <w:tcPr>
            <w:tcW w:w="2463" w:type="pct"/>
          </w:tcPr>
          <w:p w14:paraId="76CD57B3" w14:textId="4A03F7F6" w:rsidR="008F3077" w:rsidRPr="00DD6FA8" w:rsidRDefault="008F3077" w:rsidP="008F3077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D2DD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English</w:t>
            </w:r>
          </w:p>
        </w:tc>
      </w:tr>
    </w:tbl>
    <w:p w14:paraId="4AC5449C" w14:textId="59AF3463" w:rsidR="00901197" w:rsidRPr="00DD6FA8" w:rsidRDefault="00901197" w:rsidP="009D4C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179A0FE" w14:textId="77777777" w:rsidR="00B4316F" w:rsidRPr="00DD6FA8" w:rsidRDefault="00B4316F" w:rsidP="009D4C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4A5945" w14:textId="02EB4AF5" w:rsidR="00B4316F" w:rsidRPr="00DD6FA8" w:rsidRDefault="00B4316F" w:rsidP="007C666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D6FA8">
        <w:rPr>
          <w:rFonts w:ascii="Arial" w:hAnsi="Arial" w:cs="Arial"/>
          <w:b/>
          <w:sz w:val="18"/>
          <w:szCs w:val="18"/>
        </w:rPr>
        <w:t>THE AIM OF THE COURSE:</w:t>
      </w:r>
    </w:p>
    <w:p w14:paraId="02F0F685" w14:textId="77777777" w:rsidR="001B4406" w:rsidRDefault="001B4406" w:rsidP="00D700DA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0B036ACB" w14:textId="122D9157" w:rsidR="008F3077" w:rsidRPr="002C4FF1" w:rsidRDefault="008F3077" w:rsidP="008F3077">
      <w:pPr>
        <w:widowControl w:val="0"/>
        <w:overflowPunct w:val="0"/>
        <w:autoSpaceDE w:val="0"/>
        <w:autoSpaceDN w:val="0"/>
        <w:adjustRightInd w:val="0"/>
        <w:spacing w:line="253" w:lineRule="auto"/>
        <w:ind w:left="20" w:right="100"/>
        <w:jc w:val="both"/>
      </w:pPr>
      <w:r w:rsidRPr="002C4FF1">
        <w:rPr>
          <w:rFonts w:ascii="Arial" w:hAnsi="Arial" w:cs="Arial"/>
          <w:sz w:val="18"/>
          <w:szCs w:val="18"/>
        </w:rPr>
        <w:t>The course will help to understand international financial accounting standards</w:t>
      </w:r>
      <w:r>
        <w:rPr>
          <w:rFonts w:ascii="Arial" w:hAnsi="Arial" w:cs="Arial"/>
          <w:sz w:val="18"/>
          <w:szCs w:val="18"/>
        </w:rPr>
        <w:t xml:space="preserve"> (IFRS). The course focuses on more complex accounting issues like revenue recognition, measurement of certain assets, </w:t>
      </w:r>
      <w:proofErr w:type="gramStart"/>
      <w:r>
        <w:rPr>
          <w:rFonts w:ascii="Arial" w:hAnsi="Arial" w:cs="Arial"/>
          <w:sz w:val="18"/>
          <w:szCs w:val="18"/>
        </w:rPr>
        <w:t>implication</w:t>
      </w:r>
      <w:proofErr w:type="gramEnd"/>
      <w:r>
        <w:rPr>
          <w:rFonts w:ascii="Arial" w:hAnsi="Arial" w:cs="Arial"/>
          <w:sz w:val="18"/>
          <w:szCs w:val="18"/>
        </w:rPr>
        <w:t xml:space="preserve"> of financing and also will include a comprehensive group accounting section.</w:t>
      </w:r>
    </w:p>
    <w:p w14:paraId="4AB49BF4" w14:textId="77777777" w:rsidR="001B338B" w:rsidRPr="00DD6FA8" w:rsidRDefault="001B338B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3F4418" w14:textId="3D1FCB00" w:rsidR="00901197" w:rsidRPr="00DD6FA8" w:rsidRDefault="007C6666" w:rsidP="009C1B4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D6FA8">
        <w:rPr>
          <w:rFonts w:ascii="Arial" w:hAnsi="Arial" w:cs="Arial"/>
          <w:b/>
          <w:sz w:val="18"/>
          <w:szCs w:val="18"/>
        </w:rPr>
        <w:t xml:space="preserve">MAPPING OF </w:t>
      </w:r>
      <w:r w:rsidR="00901197" w:rsidRPr="00DD6FA8">
        <w:rPr>
          <w:rFonts w:ascii="Arial" w:hAnsi="Arial" w:cs="Arial"/>
          <w:b/>
          <w:sz w:val="18"/>
          <w:szCs w:val="18"/>
        </w:rPr>
        <w:t xml:space="preserve">COURSE </w:t>
      </w:r>
      <w:proofErr w:type="gramStart"/>
      <w:r w:rsidR="00901197" w:rsidRPr="00DD6FA8">
        <w:rPr>
          <w:rFonts w:ascii="Arial" w:hAnsi="Arial" w:cs="Arial"/>
          <w:b/>
          <w:sz w:val="18"/>
          <w:szCs w:val="18"/>
        </w:rPr>
        <w:t>LEVEL LEARNING</w:t>
      </w:r>
      <w:proofErr w:type="gramEnd"/>
      <w:r w:rsidR="00901197" w:rsidRPr="00DD6FA8">
        <w:rPr>
          <w:rFonts w:ascii="Arial" w:hAnsi="Arial" w:cs="Arial"/>
          <w:b/>
          <w:sz w:val="18"/>
          <w:szCs w:val="18"/>
        </w:rPr>
        <w:t xml:space="preserve"> OUTCOMES (OBJECTIVES)</w:t>
      </w:r>
      <w:r w:rsidRPr="00DD6FA8">
        <w:rPr>
          <w:rFonts w:ascii="Arial" w:hAnsi="Arial" w:cs="Arial"/>
          <w:b/>
          <w:sz w:val="18"/>
          <w:szCs w:val="18"/>
        </w:rPr>
        <w:t xml:space="preserve"> WITH </w:t>
      </w:r>
      <w:r w:rsidR="0073580A" w:rsidRPr="00DD6FA8">
        <w:rPr>
          <w:rFonts w:ascii="Arial" w:hAnsi="Arial" w:cs="Arial"/>
          <w:b/>
          <w:sz w:val="18"/>
          <w:szCs w:val="18"/>
        </w:rPr>
        <w:t>DEGREE</w:t>
      </w:r>
      <w:r w:rsidR="001B338B" w:rsidRPr="00DD6FA8">
        <w:rPr>
          <w:rFonts w:ascii="Arial" w:hAnsi="Arial" w:cs="Arial"/>
          <w:b/>
          <w:sz w:val="18"/>
          <w:szCs w:val="18"/>
        </w:rPr>
        <w:t xml:space="preserve"> LEVEL LEARNING </w:t>
      </w:r>
      <w:r w:rsidR="0073580A" w:rsidRPr="00DD6FA8">
        <w:rPr>
          <w:rFonts w:ascii="Arial" w:hAnsi="Arial" w:cs="Arial"/>
          <w:b/>
          <w:sz w:val="18"/>
          <w:szCs w:val="18"/>
        </w:rPr>
        <w:t>OBJECTIVES</w:t>
      </w:r>
      <w:r w:rsidR="001B338B" w:rsidRPr="00DD6FA8">
        <w:rPr>
          <w:rFonts w:ascii="Arial" w:hAnsi="Arial" w:cs="Arial"/>
          <w:b/>
          <w:sz w:val="18"/>
          <w:szCs w:val="18"/>
        </w:rPr>
        <w:t xml:space="preserve"> (See Annex)</w:t>
      </w:r>
      <w:r w:rsidR="00A41EFE" w:rsidRPr="00DD6FA8">
        <w:rPr>
          <w:rFonts w:ascii="Arial" w:hAnsi="Arial" w:cs="Arial"/>
          <w:b/>
          <w:sz w:val="18"/>
          <w:szCs w:val="18"/>
        </w:rPr>
        <w:t>, ASSESMENT AND TEACHING METHODS</w:t>
      </w:r>
    </w:p>
    <w:p w14:paraId="755635A4" w14:textId="77777777" w:rsidR="002C6981" w:rsidRPr="00DD6FA8" w:rsidRDefault="002C6981" w:rsidP="009C1B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1"/>
        <w:gridCol w:w="1466"/>
        <w:gridCol w:w="1905"/>
        <w:gridCol w:w="2200"/>
      </w:tblGrid>
      <w:tr w:rsidR="003164F1" w:rsidRPr="00DD6FA8" w14:paraId="54B8549F" w14:textId="77777777" w:rsidTr="00C01933">
        <w:trPr>
          <w:trHeight w:val="661"/>
        </w:trPr>
        <w:tc>
          <w:tcPr>
            <w:tcW w:w="2204" w:type="pct"/>
            <w:shd w:val="clear" w:color="auto" w:fill="auto"/>
          </w:tcPr>
          <w:p w14:paraId="0754BFCE" w14:textId="274B2BB6" w:rsidR="003164F1" w:rsidRPr="00DD6FA8" w:rsidRDefault="003164F1" w:rsidP="00A41EFE">
            <w:pPr>
              <w:pStyle w:val="Head"/>
              <w:spacing w:before="1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D6FA8">
              <w:rPr>
                <w:rFonts w:ascii="Arial" w:hAnsi="Arial" w:cs="Arial"/>
                <w:sz w:val="18"/>
                <w:szCs w:val="18"/>
              </w:rPr>
              <w:t xml:space="preserve">Course level learning outcomes (objectives) </w:t>
            </w:r>
          </w:p>
        </w:tc>
        <w:tc>
          <w:tcPr>
            <w:tcW w:w="736" w:type="pct"/>
            <w:shd w:val="clear" w:color="auto" w:fill="auto"/>
          </w:tcPr>
          <w:p w14:paraId="594EF29D" w14:textId="236FC28E" w:rsidR="003164F1" w:rsidRPr="00DD6FA8" w:rsidRDefault="003164F1" w:rsidP="001B4406">
            <w:pPr>
              <w:pStyle w:val="Head"/>
              <w:spacing w:before="1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 xml:space="preserve">Degree level learning objectives, BMM </w:t>
            </w:r>
          </w:p>
        </w:tc>
        <w:tc>
          <w:tcPr>
            <w:tcW w:w="956" w:type="pct"/>
          </w:tcPr>
          <w:p w14:paraId="6F8A4DCC" w14:textId="26AE3605" w:rsidR="003164F1" w:rsidRPr="00DD6FA8" w:rsidRDefault="003164F1" w:rsidP="00A41EFE">
            <w:pPr>
              <w:pStyle w:val="Head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D6FA8">
              <w:rPr>
                <w:rFonts w:ascii="Arial" w:hAnsi="Arial" w:cs="Arial"/>
                <w:sz w:val="18"/>
                <w:szCs w:val="18"/>
              </w:rPr>
              <w:t>Assessment methods</w:t>
            </w:r>
          </w:p>
        </w:tc>
        <w:tc>
          <w:tcPr>
            <w:tcW w:w="1104" w:type="pct"/>
            <w:shd w:val="clear" w:color="auto" w:fill="auto"/>
          </w:tcPr>
          <w:p w14:paraId="44BE5464" w14:textId="6A162B5C" w:rsidR="003164F1" w:rsidRPr="00DD6FA8" w:rsidRDefault="003164F1" w:rsidP="00A41EFE">
            <w:pPr>
              <w:pStyle w:val="Head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D6FA8">
              <w:rPr>
                <w:rFonts w:ascii="Arial" w:hAnsi="Arial" w:cs="Arial"/>
                <w:sz w:val="18"/>
                <w:szCs w:val="18"/>
              </w:rPr>
              <w:t>Teaching methods</w:t>
            </w:r>
          </w:p>
        </w:tc>
      </w:tr>
      <w:tr w:rsidR="003164F1" w:rsidRPr="00DD6FA8" w14:paraId="6F7EF77F" w14:textId="77777777" w:rsidTr="00C01933">
        <w:trPr>
          <w:trHeight w:val="414"/>
        </w:trPr>
        <w:tc>
          <w:tcPr>
            <w:tcW w:w="2204" w:type="pct"/>
          </w:tcPr>
          <w:p w14:paraId="3E933EDD" w14:textId="7A6E3905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LO1. </w:t>
            </w:r>
            <w:r>
              <w:rPr>
                <w:rFonts w:ascii="Arial" w:hAnsi="Arial" w:cs="Arial"/>
                <w:sz w:val="18"/>
                <w:szCs w:val="18"/>
              </w:rPr>
              <w:t xml:space="preserve">Students will understand how the financial statements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are effected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with certain economic phenomena and they will be able to adjust financial statements accordingly. </w:t>
            </w:r>
          </w:p>
        </w:tc>
        <w:tc>
          <w:tcPr>
            <w:tcW w:w="736" w:type="pct"/>
            <w:shd w:val="clear" w:color="auto" w:fill="auto"/>
          </w:tcPr>
          <w:p w14:paraId="31DF7BBA" w14:textId="524ADF1F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BLO1.1 </w:t>
            </w:r>
          </w:p>
        </w:tc>
        <w:tc>
          <w:tcPr>
            <w:tcW w:w="956" w:type="pct"/>
          </w:tcPr>
          <w:p w14:paraId="47EE803B" w14:textId="77777777" w:rsidR="003164F1" w:rsidRDefault="003164F1" w:rsidP="0010502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 xml:space="preserve">Mid-term exam </w:t>
            </w:r>
          </w:p>
          <w:p w14:paraId="11A6BDA5" w14:textId="0D266B23" w:rsidR="003164F1" w:rsidRPr="00DD6FA8" w:rsidRDefault="003164F1" w:rsidP="0010502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exam</w:t>
            </w:r>
          </w:p>
        </w:tc>
        <w:tc>
          <w:tcPr>
            <w:tcW w:w="1104" w:type="pct"/>
          </w:tcPr>
          <w:p w14:paraId="659A676F" w14:textId="3160A3CE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>Lectures, seminars, self-study</w:t>
            </w:r>
          </w:p>
        </w:tc>
      </w:tr>
      <w:tr w:rsidR="003164F1" w:rsidRPr="00DD6FA8" w14:paraId="452B344C" w14:textId="77777777" w:rsidTr="00C01933">
        <w:trPr>
          <w:trHeight w:val="414"/>
        </w:trPr>
        <w:tc>
          <w:tcPr>
            <w:tcW w:w="2204" w:type="pct"/>
          </w:tcPr>
          <w:p w14:paraId="74E9ABBC" w14:textId="718E6D00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LO2. To understand accounting process and its organization procedures, </w:t>
            </w:r>
            <w:r>
              <w:rPr>
                <w:rFonts w:ascii="Arial" w:hAnsi="Arial" w:cs="Arial"/>
                <w:sz w:val="18"/>
                <w:szCs w:val="18"/>
              </w:rPr>
              <w:t xml:space="preserve">on separate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and also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group level</w:t>
            </w:r>
            <w:r w:rsidRPr="001B44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6" w:type="pct"/>
            <w:shd w:val="clear" w:color="auto" w:fill="auto"/>
          </w:tcPr>
          <w:p w14:paraId="436E3B04" w14:textId="5A491F18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BLO1.2 </w:t>
            </w:r>
          </w:p>
        </w:tc>
        <w:tc>
          <w:tcPr>
            <w:tcW w:w="956" w:type="pct"/>
          </w:tcPr>
          <w:p w14:paraId="7F7EEB38" w14:textId="7FF89767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 exam</w:t>
            </w:r>
          </w:p>
        </w:tc>
        <w:tc>
          <w:tcPr>
            <w:tcW w:w="1104" w:type="pct"/>
          </w:tcPr>
          <w:p w14:paraId="76DADBB2" w14:textId="6E519384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>Lectures, self-study</w:t>
            </w:r>
          </w:p>
        </w:tc>
      </w:tr>
      <w:tr w:rsidR="003164F1" w:rsidRPr="00DD6FA8" w14:paraId="47AB148C" w14:textId="77777777" w:rsidTr="00C01933">
        <w:trPr>
          <w:trHeight w:val="414"/>
        </w:trPr>
        <w:tc>
          <w:tcPr>
            <w:tcW w:w="2204" w:type="pct"/>
          </w:tcPr>
          <w:p w14:paraId="0E812880" w14:textId="3BC44158" w:rsidR="003164F1" w:rsidRDefault="003164F1" w:rsidP="00401708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B4406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4406">
              <w:rPr>
                <w:rFonts w:ascii="Arial" w:hAnsi="Arial" w:cs="Arial"/>
                <w:sz w:val="18"/>
                <w:szCs w:val="18"/>
              </w:rPr>
              <w:t>. To prepare financial statements and acquire knowledge and practical skills in keeping accounting in the companies.</w:t>
            </w:r>
          </w:p>
        </w:tc>
        <w:tc>
          <w:tcPr>
            <w:tcW w:w="736" w:type="pct"/>
            <w:shd w:val="clear" w:color="auto" w:fill="auto"/>
          </w:tcPr>
          <w:p w14:paraId="0BFB6B8E" w14:textId="113E81ED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BLO1.2, BLO4.1</w:t>
            </w:r>
          </w:p>
        </w:tc>
        <w:tc>
          <w:tcPr>
            <w:tcW w:w="956" w:type="pct"/>
          </w:tcPr>
          <w:p w14:paraId="66380517" w14:textId="77777777" w:rsidR="003164F1" w:rsidRDefault="003164F1" w:rsidP="0010502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 xml:space="preserve">Mid-term exam </w:t>
            </w:r>
          </w:p>
          <w:p w14:paraId="5AC503DE" w14:textId="190CFFD3" w:rsidR="003164F1" w:rsidRPr="001B4406" w:rsidRDefault="003164F1" w:rsidP="0010502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exam</w:t>
            </w:r>
          </w:p>
        </w:tc>
        <w:tc>
          <w:tcPr>
            <w:tcW w:w="1104" w:type="pct"/>
          </w:tcPr>
          <w:p w14:paraId="533231BD" w14:textId="0941183C" w:rsidR="003164F1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 xml:space="preserve">Lectures, </w:t>
            </w:r>
            <w:r>
              <w:rPr>
                <w:rFonts w:ascii="Arial" w:hAnsi="Arial" w:cs="Arial"/>
                <w:sz w:val="18"/>
                <w:szCs w:val="18"/>
              </w:rPr>
              <w:t xml:space="preserve">solving exercises, </w:t>
            </w:r>
            <w:r w:rsidRPr="001B4406">
              <w:rPr>
                <w:rFonts w:ascii="Arial" w:hAnsi="Arial" w:cs="Arial"/>
                <w:sz w:val="18"/>
                <w:szCs w:val="18"/>
              </w:rPr>
              <w:t>self-study</w:t>
            </w:r>
          </w:p>
        </w:tc>
      </w:tr>
      <w:tr w:rsidR="003164F1" w:rsidRPr="00DD6FA8" w14:paraId="219A2914" w14:textId="77777777" w:rsidTr="00C01933">
        <w:trPr>
          <w:trHeight w:val="414"/>
        </w:trPr>
        <w:tc>
          <w:tcPr>
            <w:tcW w:w="2204" w:type="pct"/>
          </w:tcPr>
          <w:p w14:paraId="25823289" w14:textId="54552D45" w:rsidR="003164F1" w:rsidRPr="00DD6FA8" w:rsidRDefault="003164F1" w:rsidP="00401708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B4406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Students can account for more complicated revenue recognition, financing decisions (including leases) and group accounting issues. Students will have be able to account for financial instruments.</w:t>
            </w:r>
          </w:p>
        </w:tc>
        <w:tc>
          <w:tcPr>
            <w:tcW w:w="736" w:type="pct"/>
            <w:shd w:val="clear" w:color="auto" w:fill="auto"/>
          </w:tcPr>
          <w:p w14:paraId="0ED96CF7" w14:textId="520F2AD3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BLO1.1 </w:t>
            </w:r>
          </w:p>
        </w:tc>
        <w:tc>
          <w:tcPr>
            <w:tcW w:w="956" w:type="pct"/>
          </w:tcPr>
          <w:p w14:paraId="41748893" w14:textId="29DE5F49" w:rsidR="003164F1" w:rsidRPr="00DD6FA8" w:rsidRDefault="003164F1" w:rsidP="0010502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C6BB8">
              <w:rPr>
                <w:rFonts w:ascii="Arial" w:hAnsi="Arial" w:cs="Arial"/>
                <w:sz w:val="18"/>
                <w:szCs w:val="18"/>
              </w:rPr>
              <w:t>inal exam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</w:tcPr>
          <w:p w14:paraId="4636063D" w14:textId="52FA4365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>Lectures, solving exercises</w:t>
            </w:r>
          </w:p>
        </w:tc>
      </w:tr>
      <w:tr w:rsidR="003164F1" w:rsidRPr="00DD6FA8" w14:paraId="14656B4F" w14:textId="77777777" w:rsidTr="00C01933">
        <w:trPr>
          <w:trHeight w:val="414"/>
        </w:trPr>
        <w:tc>
          <w:tcPr>
            <w:tcW w:w="2204" w:type="pct"/>
          </w:tcPr>
          <w:p w14:paraId="3226B2B7" w14:textId="4A1F8E8E" w:rsidR="003164F1" w:rsidRPr="00DD6FA8" w:rsidRDefault="003164F1" w:rsidP="00401708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B4406"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. To be able to select accounting policy distinguishing all </w:t>
            </w:r>
            <w:r>
              <w:rPr>
                <w:rFonts w:ascii="Arial" w:hAnsi="Arial" w:cs="Arial"/>
                <w:sz w:val="18"/>
                <w:szCs w:val="18"/>
              </w:rPr>
              <w:t>four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 aspects: organizational, technical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 methodological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ethical</w:t>
            </w:r>
            <w:proofErr w:type="gramEnd"/>
            <w:r w:rsidRPr="001B440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36" w:type="pct"/>
            <w:shd w:val="clear" w:color="auto" w:fill="auto"/>
          </w:tcPr>
          <w:p w14:paraId="5739E49F" w14:textId="77777777" w:rsidR="003164F1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BLO1.2; </w:t>
            </w:r>
          </w:p>
          <w:p w14:paraId="11A2F724" w14:textId="4A1313C1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BLO2.1  </w:t>
            </w:r>
          </w:p>
        </w:tc>
        <w:tc>
          <w:tcPr>
            <w:tcW w:w="956" w:type="pct"/>
          </w:tcPr>
          <w:p w14:paraId="0A14356E" w14:textId="60F4C0B6" w:rsidR="003164F1" w:rsidRPr="00DD6FA8" w:rsidRDefault="003164F1" w:rsidP="0010502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C6BB8">
              <w:rPr>
                <w:rFonts w:ascii="Arial" w:hAnsi="Arial" w:cs="Arial"/>
                <w:sz w:val="18"/>
                <w:szCs w:val="18"/>
              </w:rPr>
              <w:t>inal exam</w:t>
            </w:r>
            <w:r w:rsidRPr="001B44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</w:tcPr>
          <w:p w14:paraId="33EFDFB1" w14:textId="2891FCBB" w:rsidR="003164F1" w:rsidRPr="00DD6FA8" w:rsidRDefault="003164F1" w:rsidP="001B4406">
            <w:pPr>
              <w:widowControl w:val="0"/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1B4406">
              <w:rPr>
                <w:rFonts w:ascii="Arial" w:hAnsi="Arial" w:cs="Arial"/>
                <w:sz w:val="18"/>
                <w:szCs w:val="18"/>
              </w:rPr>
              <w:t>Lectures, solving exercises, self-study</w:t>
            </w:r>
          </w:p>
        </w:tc>
      </w:tr>
    </w:tbl>
    <w:p w14:paraId="019EA798" w14:textId="77777777" w:rsidR="00B259CF" w:rsidRPr="00DD6FA8" w:rsidRDefault="00B259CF" w:rsidP="001667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DC6DD8" w14:textId="13E06E71" w:rsidR="00624CDC" w:rsidRDefault="00624CDC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3F9B0BB" w14:textId="42D8E6F2" w:rsidR="003164F1" w:rsidRDefault="003164F1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620B113" w14:textId="77777777" w:rsidR="003164F1" w:rsidRDefault="003164F1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87A9FB9" w14:textId="77777777" w:rsidR="00624CDC" w:rsidRDefault="00624CDC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AE1956E" w14:textId="77777777" w:rsidR="00C01933" w:rsidRDefault="00C01933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EF9BBD9" w14:textId="30E20B8B" w:rsidR="001902BE" w:rsidRPr="00DD6FA8" w:rsidRDefault="00B259CF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D6FA8">
        <w:rPr>
          <w:rFonts w:ascii="Arial" w:hAnsi="Arial" w:cs="Arial"/>
          <w:b/>
          <w:sz w:val="18"/>
          <w:szCs w:val="18"/>
        </w:rPr>
        <w:lastRenderedPageBreak/>
        <w:t>ACADEMIC HONESTY AND INTEGRITY</w:t>
      </w:r>
    </w:p>
    <w:p w14:paraId="0C06592E" w14:textId="07F1BD37" w:rsidR="009D4C19" w:rsidRPr="00DD6FA8" w:rsidRDefault="009D4C19" w:rsidP="00E434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E78A67" w14:textId="62962C52" w:rsidR="00114104" w:rsidRPr="00DD6FA8" w:rsidRDefault="00DD6FA8" w:rsidP="00E434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6FA8">
        <w:rPr>
          <w:rFonts w:ascii="Arial" w:hAnsi="Arial" w:cs="Arial"/>
          <w:sz w:val="18"/>
          <w:szCs w:val="18"/>
        </w:rPr>
        <w:t xml:space="preserve">The ISM University of Management and Economics Code of Ethics, including cheating and plagiarism are fully applicable and </w:t>
      </w:r>
      <w:proofErr w:type="gramStart"/>
      <w:r w:rsidRPr="00DD6FA8">
        <w:rPr>
          <w:rFonts w:ascii="Arial" w:hAnsi="Arial" w:cs="Arial"/>
          <w:sz w:val="18"/>
          <w:szCs w:val="18"/>
        </w:rPr>
        <w:t>will be strictly enforced</w:t>
      </w:r>
      <w:proofErr w:type="gramEnd"/>
      <w:r w:rsidRPr="00DD6FA8">
        <w:rPr>
          <w:rFonts w:ascii="Arial" w:hAnsi="Arial" w:cs="Arial"/>
          <w:sz w:val="18"/>
          <w:szCs w:val="18"/>
        </w:rPr>
        <w:t xml:space="preserve"> in the course. Academic </w:t>
      </w:r>
      <w:proofErr w:type="gramStart"/>
      <w:r w:rsidRPr="00DD6FA8">
        <w:rPr>
          <w:rFonts w:ascii="Arial" w:hAnsi="Arial" w:cs="Arial"/>
          <w:sz w:val="18"/>
          <w:szCs w:val="18"/>
        </w:rPr>
        <w:t>dishonesty,</w:t>
      </w:r>
      <w:proofErr w:type="gramEnd"/>
      <w:r w:rsidRPr="00DD6FA8">
        <w:rPr>
          <w:rFonts w:ascii="Arial" w:hAnsi="Arial" w:cs="Arial"/>
          <w:sz w:val="18"/>
          <w:szCs w:val="18"/>
        </w:rPr>
        <w:t xml:space="preserve"> and cheating can and will lead to a report to the ISM Committee of Ethics. With regard to remote learning, ISM remind students that they </w:t>
      </w:r>
      <w:proofErr w:type="gramStart"/>
      <w:r w:rsidRPr="00DD6FA8">
        <w:rPr>
          <w:rFonts w:ascii="Arial" w:hAnsi="Arial" w:cs="Arial"/>
          <w:sz w:val="18"/>
          <w:szCs w:val="18"/>
        </w:rPr>
        <w:t>are expected</w:t>
      </w:r>
      <w:proofErr w:type="gramEnd"/>
      <w:r w:rsidRPr="00DD6FA8">
        <w:rPr>
          <w:rFonts w:ascii="Arial" w:hAnsi="Arial" w:cs="Arial"/>
          <w:sz w:val="18"/>
          <w:szCs w:val="18"/>
        </w:rPr>
        <w:t xml:space="preserve"> to adhere and maintain the same academic honesty and integrity that they would in a classroom setting.</w:t>
      </w:r>
    </w:p>
    <w:p w14:paraId="60864B57" w14:textId="444574FC" w:rsidR="00624CDC" w:rsidRDefault="00624C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82FC882" w14:textId="21FF7709" w:rsidR="00B259CF" w:rsidRDefault="00B259CF" w:rsidP="00E434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D6FA8">
        <w:rPr>
          <w:rFonts w:ascii="Arial" w:hAnsi="Arial" w:cs="Arial"/>
          <w:b/>
          <w:sz w:val="18"/>
          <w:szCs w:val="18"/>
        </w:rPr>
        <w:t>COURSE OUTLINE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4509"/>
        <w:gridCol w:w="1827"/>
        <w:gridCol w:w="1968"/>
      </w:tblGrid>
      <w:tr w:rsidR="008F3077" w:rsidRPr="005D2DDD" w14:paraId="1800E6EC" w14:textId="77777777" w:rsidTr="00C01933">
        <w:trPr>
          <w:cantSplit/>
          <w:trHeight w:val="438"/>
          <w:tblHeader/>
        </w:trPr>
        <w:tc>
          <w:tcPr>
            <w:tcW w:w="832" w:type="pct"/>
            <w:vMerge w:val="restart"/>
            <w:shd w:val="clear" w:color="auto" w:fill="EEECE1"/>
          </w:tcPr>
          <w:p w14:paraId="5E5D86A1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3" w:type="pct"/>
            <w:vMerge w:val="restart"/>
            <w:shd w:val="clear" w:color="auto" w:fill="EEECE1"/>
          </w:tcPr>
          <w:p w14:paraId="4502BAAF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917" w:type="pct"/>
            <w:vMerge w:val="restart"/>
            <w:shd w:val="clear" w:color="auto" w:fill="EEECE1"/>
          </w:tcPr>
          <w:p w14:paraId="14C0B081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IN-CLASS HOURS</w:t>
            </w:r>
          </w:p>
        </w:tc>
        <w:tc>
          <w:tcPr>
            <w:tcW w:w="988" w:type="pct"/>
            <w:vMerge w:val="restart"/>
            <w:shd w:val="clear" w:color="auto" w:fill="EEECE1"/>
          </w:tcPr>
          <w:p w14:paraId="3F40120A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READINGS </w:t>
            </w:r>
          </w:p>
        </w:tc>
      </w:tr>
      <w:tr w:rsidR="008F3077" w:rsidRPr="005D2DDD" w14:paraId="031FD79D" w14:textId="77777777" w:rsidTr="00C01933">
        <w:trPr>
          <w:cantSplit/>
          <w:trHeight w:val="438"/>
          <w:tblHeader/>
        </w:trPr>
        <w:tc>
          <w:tcPr>
            <w:tcW w:w="832" w:type="pct"/>
            <w:vMerge/>
          </w:tcPr>
          <w:p w14:paraId="75A7A4AD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63" w:type="pct"/>
            <w:vMerge/>
          </w:tcPr>
          <w:p w14:paraId="3B6582D9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17" w:type="pct"/>
            <w:vMerge/>
          </w:tcPr>
          <w:p w14:paraId="40599E5E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88" w:type="pct"/>
            <w:vMerge/>
          </w:tcPr>
          <w:p w14:paraId="491D4654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F3077" w:rsidRPr="005D2DDD" w14:paraId="5D4ED620" w14:textId="77777777" w:rsidTr="00C01933">
        <w:trPr>
          <w:trHeight w:val="260"/>
          <w:tblHeader/>
        </w:trPr>
        <w:tc>
          <w:tcPr>
            <w:tcW w:w="832" w:type="pct"/>
          </w:tcPr>
          <w:p w14:paraId="779F665E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pct"/>
          </w:tcPr>
          <w:p w14:paraId="3927172B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International financial reporting standards (IFRS), revision, main considerations</w:t>
            </w:r>
          </w:p>
          <w:p w14:paraId="2BB09022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Accounting for leases. </w:t>
            </w:r>
          </w:p>
        </w:tc>
        <w:tc>
          <w:tcPr>
            <w:tcW w:w="917" w:type="pct"/>
          </w:tcPr>
          <w:p w14:paraId="2F963514" w14:textId="77777777" w:rsidR="008F3077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1</w:t>
            </w:r>
          </w:p>
          <w:p w14:paraId="307F1A1B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988" w:type="pct"/>
          </w:tcPr>
          <w:p w14:paraId="17194F7C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410AFB13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22</w:t>
            </w:r>
          </w:p>
        </w:tc>
      </w:tr>
      <w:tr w:rsidR="008F3077" w:rsidRPr="005D2DDD" w14:paraId="0A171BF0" w14:textId="77777777" w:rsidTr="00C01933">
        <w:trPr>
          <w:trHeight w:val="261"/>
          <w:tblHeader/>
        </w:trPr>
        <w:tc>
          <w:tcPr>
            <w:tcW w:w="832" w:type="pct"/>
          </w:tcPr>
          <w:p w14:paraId="34797BBE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pct"/>
          </w:tcPr>
          <w:p w14:paraId="338CF400" w14:textId="77777777" w:rsidR="008F3077" w:rsidRPr="005A7666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Revenue recognition under IFRS </w:t>
            </w:r>
          </w:p>
        </w:tc>
        <w:tc>
          <w:tcPr>
            <w:tcW w:w="917" w:type="pct"/>
          </w:tcPr>
          <w:p w14:paraId="417984E2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6DEBA69E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0463F769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8F3077" w:rsidRPr="005D2DDD" w14:paraId="227D5886" w14:textId="77777777" w:rsidTr="00C01933">
        <w:trPr>
          <w:trHeight w:val="260"/>
          <w:tblHeader/>
        </w:trPr>
        <w:tc>
          <w:tcPr>
            <w:tcW w:w="832" w:type="pct"/>
          </w:tcPr>
          <w:p w14:paraId="339780C8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3 </w:t>
            </w:r>
          </w:p>
        </w:tc>
        <w:tc>
          <w:tcPr>
            <w:tcW w:w="2263" w:type="pct"/>
          </w:tcPr>
          <w:p w14:paraId="56345425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Accounting for financial instruments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308CE0F7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Classification and measurement</w:t>
            </w:r>
          </w:p>
        </w:tc>
        <w:tc>
          <w:tcPr>
            <w:tcW w:w="917" w:type="pct"/>
          </w:tcPr>
          <w:p w14:paraId="279F2F2F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20E1F48B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176F4381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3</w:t>
            </w:r>
          </w:p>
        </w:tc>
      </w:tr>
      <w:tr w:rsidR="008F3077" w:rsidRPr="005D2DDD" w14:paraId="4A92608A" w14:textId="77777777" w:rsidTr="00C01933">
        <w:trPr>
          <w:trHeight w:val="260"/>
          <w:tblHeader/>
        </w:trPr>
        <w:tc>
          <w:tcPr>
            <w:tcW w:w="832" w:type="pct"/>
          </w:tcPr>
          <w:p w14:paraId="3DB9CA0C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4 </w:t>
            </w:r>
          </w:p>
        </w:tc>
        <w:tc>
          <w:tcPr>
            <w:tcW w:w="2263" w:type="pct"/>
          </w:tcPr>
          <w:p w14:paraId="1B88FF22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Accounting for financial instruments II.</w:t>
            </w:r>
          </w:p>
          <w:p w14:paraId="71B08DD8" w14:textId="6E78D9CE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expected credit loss </w:t>
            </w:r>
            <w:r w:rsidR="003164F1">
              <w:rPr>
                <w:rFonts w:ascii="Arial" w:hAnsi="Arial" w:cs="Arial"/>
                <w:sz w:val="18"/>
                <w:szCs w:val="18"/>
                <w:lang w:val="en-GB"/>
              </w:rPr>
              <w:t>model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 Selected elements of hedge accounting.</w:t>
            </w:r>
          </w:p>
        </w:tc>
        <w:tc>
          <w:tcPr>
            <w:tcW w:w="917" w:type="pct"/>
          </w:tcPr>
          <w:p w14:paraId="1D3E9726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05395411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035AB9B1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4</w:t>
            </w:r>
          </w:p>
        </w:tc>
      </w:tr>
      <w:tr w:rsidR="008F3077" w:rsidRPr="005D2DDD" w14:paraId="313D0CE6" w14:textId="77777777" w:rsidTr="00C01933">
        <w:trPr>
          <w:trHeight w:val="260"/>
          <w:tblHeader/>
        </w:trPr>
        <w:tc>
          <w:tcPr>
            <w:tcW w:w="832" w:type="pct"/>
          </w:tcPr>
          <w:p w14:paraId="6C8E7289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2263" w:type="pct"/>
          </w:tcPr>
          <w:p w14:paraId="2FCCDAE5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Foreign currency accounting and reporting</w:t>
            </w:r>
          </w:p>
          <w:p w14:paraId="60F65709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Income tax accounting</w:t>
            </w:r>
          </w:p>
        </w:tc>
        <w:tc>
          <w:tcPr>
            <w:tcW w:w="917" w:type="pct"/>
          </w:tcPr>
          <w:p w14:paraId="6575D7EC" w14:textId="77777777" w:rsidR="008F3077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</w:p>
          <w:p w14:paraId="74E968E6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988" w:type="pct"/>
          </w:tcPr>
          <w:p w14:paraId="396A3C89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3BA12CB6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12, 14</w:t>
            </w:r>
          </w:p>
        </w:tc>
      </w:tr>
      <w:tr w:rsidR="008F3077" w:rsidRPr="005D2DDD" w14:paraId="30B23AC7" w14:textId="77777777" w:rsidTr="00C01933">
        <w:trPr>
          <w:trHeight w:val="261"/>
          <w:tblHeader/>
        </w:trPr>
        <w:tc>
          <w:tcPr>
            <w:tcW w:w="832" w:type="pct"/>
          </w:tcPr>
          <w:p w14:paraId="0E2491AC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6 </w:t>
            </w:r>
          </w:p>
        </w:tc>
        <w:tc>
          <w:tcPr>
            <w:tcW w:w="2263" w:type="pct"/>
          </w:tcPr>
          <w:p w14:paraId="2BF53D37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sz w:val="18"/>
                <w:szCs w:val="18"/>
                <w:lang w:val="en-GB"/>
              </w:rPr>
              <w:t>MID-TERM TEST</w:t>
            </w:r>
          </w:p>
        </w:tc>
        <w:tc>
          <w:tcPr>
            <w:tcW w:w="917" w:type="pct"/>
          </w:tcPr>
          <w:p w14:paraId="7A3A36A0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988" w:type="pct"/>
          </w:tcPr>
          <w:p w14:paraId="264E9B8D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8F3077" w:rsidRPr="005D2DDD" w14:paraId="6F30244C" w14:textId="77777777" w:rsidTr="00C01933">
        <w:trPr>
          <w:trHeight w:val="261"/>
          <w:tblHeader/>
        </w:trPr>
        <w:tc>
          <w:tcPr>
            <w:tcW w:w="832" w:type="pct"/>
          </w:tcPr>
          <w:p w14:paraId="4085B3DE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2263" w:type="pct"/>
          </w:tcPr>
          <w:p w14:paraId="645221BD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Main issues in group accounting</w:t>
            </w:r>
          </w:p>
        </w:tc>
        <w:tc>
          <w:tcPr>
            <w:tcW w:w="917" w:type="pct"/>
          </w:tcPr>
          <w:p w14:paraId="3DE5448C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1F83967D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1630F4E8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1, 2.</w:t>
            </w:r>
          </w:p>
        </w:tc>
      </w:tr>
      <w:tr w:rsidR="008F3077" w:rsidRPr="005D2DDD" w14:paraId="711AEFCC" w14:textId="77777777" w:rsidTr="00C01933">
        <w:trPr>
          <w:trHeight w:val="261"/>
          <w:tblHeader/>
        </w:trPr>
        <w:tc>
          <w:tcPr>
            <w:tcW w:w="832" w:type="pct"/>
          </w:tcPr>
          <w:p w14:paraId="24ED6468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pct"/>
          </w:tcPr>
          <w:p w14:paraId="4231B9BB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Consolidated financial statements</w:t>
            </w:r>
          </w:p>
        </w:tc>
        <w:tc>
          <w:tcPr>
            <w:tcW w:w="917" w:type="pct"/>
          </w:tcPr>
          <w:p w14:paraId="08AF0D82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3EA5EE26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7EADEAF0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3</w:t>
            </w:r>
          </w:p>
        </w:tc>
      </w:tr>
      <w:tr w:rsidR="008F3077" w:rsidRPr="005D2DDD" w14:paraId="043E7D4D" w14:textId="77777777" w:rsidTr="00C01933">
        <w:trPr>
          <w:trHeight w:val="260"/>
          <w:tblHeader/>
        </w:trPr>
        <w:tc>
          <w:tcPr>
            <w:tcW w:w="832" w:type="pct"/>
          </w:tcPr>
          <w:p w14:paraId="316E53A1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pct"/>
          </w:tcPr>
          <w:p w14:paraId="708B1E54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Consolidation techniques and procedures</w:t>
            </w:r>
          </w:p>
        </w:tc>
        <w:tc>
          <w:tcPr>
            <w:tcW w:w="917" w:type="pct"/>
          </w:tcPr>
          <w:p w14:paraId="24176A5D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3158305A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1F43B9E0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4</w:t>
            </w:r>
          </w:p>
        </w:tc>
      </w:tr>
      <w:tr w:rsidR="008F3077" w:rsidRPr="005D2DDD" w14:paraId="003CA597" w14:textId="77777777" w:rsidTr="00C01933">
        <w:trPr>
          <w:trHeight w:val="260"/>
          <w:tblHeader/>
        </w:trPr>
        <w:tc>
          <w:tcPr>
            <w:tcW w:w="832" w:type="pct"/>
          </w:tcPr>
          <w:p w14:paraId="6C59ABEA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pct"/>
          </w:tcPr>
          <w:p w14:paraId="47253202" w14:textId="77777777" w:rsidR="008F3077" w:rsidRPr="005A7666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Intercompany profit transactions</w:t>
            </w:r>
          </w:p>
        </w:tc>
        <w:tc>
          <w:tcPr>
            <w:tcW w:w="917" w:type="pct"/>
          </w:tcPr>
          <w:p w14:paraId="78FC5642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03861286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49814B90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Ch. 5, 6</w:t>
            </w:r>
          </w:p>
        </w:tc>
      </w:tr>
      <w:tr w:rsidR="008F3077" w:rsidRPr="005D2DDD" w14:paraId="60A9EBB7" w14:textId="77777777" w:rsidTr="00C01933">
        <w:trPr>
          <w:trHeight w:val="260"/>
          <w:tblHeader/>
        </w:trPr>
        <w:tc>
          <w:tcPr>
            <w:tcW w:w="832" w:type="pct"/>
          </w:tcPr>
          <w:p w14:paraId="31A92FE7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pct"/>
          </w:tcPr>
          <w:p w14:paraId="429F848A" w14:textId="726EA8D2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Accounting for associates and joint </w:t>
            </w:r>
            <w:r w:rsidR="003164F1">
              <w:rPr>
                <w:rFonts w:ascii="Arial" w:hAnsi="Arial" w:cs="Arial"/>
                <w:sz w:val="18"/>
                <w:szCs w:val="18"/>
                <w:lang w:val="en-GB"/>
              </w:rPr>
              <w:t>arrangements</w:t>
            </w:r>
          </w:p>
        </w:tc>
        <w:tc>
          <w:tcPr>
            <w:tcW w:w="917" w:type="pct"/>
          </w:tcPr>
          <w:p w14:paraId="7CAC7F44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pct"/>
          </w:tcPr>
          <w:p w14:paraId="009B4B71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</w:tc>
      </w:tr>
      <w:tr w:rsidR="008F3077" w:rsidRPr="005D2DDD" w14:paraId="4FF13E09" w14:textId="77777777" w:rsidTr="00C01933">
        <w:trPr>
          <w:trHeight w:val="260"/>
          <w:tblHeader/>
        </w:trPr>
        <w:tc>
          <w:tcPr>
            <w:tcW w:w="832" w:type="pct"/>
          </w:tcPr>
          <w:p w14:paraId="71C4B820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3" w:type="pct"/>
          </w:tcPr>
          <w:p w14:paraId="22D89777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Financial reporting quality</w:t>
            </w:r>
          </w:p>
          <w:p w14:paraId="6A37832D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Accounting for the governmental organizations, and non-for profit organization</w:t>
            </w:r>
          </w:p>
        </w:tc>
        <w:tc>
          <w:tcPr>
            <w:tcW w:w="917" w:type="pct"/>
          </w:tcPr>
          <w:p w14:paraId="6EB0321B" w14:textId="77777777" w:rsidR="008F3077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</w:p>
          <w:p w14:paraId="787F3110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988" w:type="pct"/>
          </w:tcPr>
          <w:p w14:paraId="428A2B5F" w14:textId="77777777" w:rsidR="008F3077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Handouts</w:t>
            </w:r>
          </w:p>
          <w:p w14:paraId="49AEBF64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18, 22</w:t>
            </w:r>
          </w:p>
        </w:tc>
      </w:tr>
      <w:tr w:rsidR="008F3077" w:rsidRPr="005D2DDD" w14:paraId="0A674684" w14:textId="77777777" w:rsidTr="00C01933">
        <w:trPr>
          <w:trHeight w:val="260"/>
          <w:tblHeader/>
        </w:trPr>
        <w:tc>
          <w:tcPr>
            <w:tcW w:w="832" w:type="pct"/>
          </w:tcPr>
          <w:p w14:paraId="74E5CFE2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3" w:type="pct"/>
          </w:tcPr>
          <w:p w14:paraId="2F651188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FINAL EXAM</w:t>
            </w:r>
          </w:p>
        </w:tc>
        <w:tc>
          <w:tcPr>
            <w:tcW w:w="917" w:type="pct"/>
          </w:tcPr>
          <w:p w14:paraId="535E4EC5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88" w:type="pct"/>
          </w:tcPr>
          <w:p w14:paraId="6400B687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8F3077" w:rsidRPr="005D2DDD" w14:paraId="588E4175" w14:textId="77777777" w:rsidTr="00C01933">
        <w:trPr>
          <w:trHeight w:val="261"/>
          <w:tblHeader/>
        </w:trPr>
        <w:tc>
          <w:tcPr>
            <w:tcW w:w="832" w:type="pct"/>
          </w:tcPr>
          <w:p w14:paraId="3708F7E4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3" w:type="pct"/>
          </w:tcPr>
          <w:p w14:paraId="6E1AB9AC" w14:textId="77777777" w:rsidR="008F3077" w:rsidRPr="005D2DDD" w:rsidRDefault="008F3077" w:rsidP="00624C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5D2DDD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Total:</w:t>
            </w:r>
          </w:p>
        </w:tc>
        <w:tc>
          <w:tcPr>
            <w:tcW w:w="917" w:type="pct"/>
          </w:tcPr>
          <w:p w14:paraId="1251DF24" w14:textId="77777777" w:rsidR="008F3077" w:rsidRPr="005D2DDD" w:rsidRDefault="008F3077" w:rsidP="00624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48</w:t>
            </w:r>
          </w:p>
        </w:tc>
        <w:tc>
          <w:tcPr>
            <w:tcW w:w="988" w:type="pct"/>
          </w:tcPr>
          <w:p w14:paraId="69EA3208" w14:textId="77777777" w:rsidR="008F3077" w:rsidRPr="00323355" w:rsidRDefault="008F3077" w:rsidP="00624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0CE8E9C9" w14:textId="77777777" w:rsidR="008F3077" w:rsidRPr="00DD6FA8" w:rsidRDefault="008F3077" w:rsidP="00E434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A7D1B1" w14:textId="77777777" w:rsidR="00B259CF" w:rsidRPr="00DD6FA8" w:rsidRDefault="00B259CF" w:rsidP="00E4340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C8E1C77" w14:textId="77777777" w:rsidR="004E466C" w:rsidRDefault="004E466C" w:rsidP="004E4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7A12895" w14:textId="77777777" w:rsidR="004E466C" w:rsidRDefault="004E466C" w:rsidP="004E4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494ED37" w14:textId="77777777" w:rsidR="004E466C" w:rsidRDefault="004E466C" w:rsidP="004E4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C5846B2" w14:textId="77777777" w:rsidR="004E466C" w:rsidRDefault="004E466C" w:rsidP="004E4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5297311" w14:textId="77777777" w:rsidR="00044A66" w:rsidRDefault="00044A6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338EC7E" w14:textId="214B69E0" w:rsidR="004E466C" w:rsidRPr="00DD6FA8" w:rsidRDefault="004E466C" w:rsidP="004E4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F</w:t>
      </w:r>
      <w:r w:rsidRPr="00DD6FA8">
        <w:rPr>
          <w:rFonts w:ascii="Arial" w:hAnsi="Arial" w:cs="Arial"/>
          <w:b/>
          <w:sz w:val="18"/>
          <w:szCs w:val="18"/>
        </w:rPr>
        <w:t>INAL GRADE COMPOSITION</w:t>
      </w:r>
    </w:p>
    <w:p w14:paraId="39D556A5" w14:textId="77777777" w:rsidR="004E466C" w:rsidRPr="00DD6FA8" w:rsidRDefault="004E466C" w:rsidP="004E4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5"/>
        <w:gridCol w:w="3447"/>
      </w:tblGrid>
      <w:tr w:rsidR="004E466C" w:rsidRPr="00DD6FA8" w14:paraId="077AD8C0" w14:textId="77777777" w:rsidTr="002C4DE4">
        <w:trPr>
          <w:trHeight w:val="411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69CC9D" w14:textId="77777777" w:rsidR="004E466C" w:rsidRPr="00DD6FA8" w:rsidRDefault="004E466C" w:rsidP="002C4DE4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FA8">
              <w:rPr>
                <w:rFonts w:ascii="Arial" w:hAnsi="Arial" w:cs="Arial"/>
                <w:b/>
                <w:bCs/>
                <w:sz w:val="18"/>
                <w:szCs w:val="18"/>
              </w:rPr>
              <w:t>Type of assignment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B7742" w14:textId="77777777" w:rsidR="004E466C" w:rsidRPr="00DD6FA8" w:rsidRDefault="004E466C" w:rsidP="002C4DE4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FA8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4E466C" w:rsidRPr="00DD6FA8" w14:paraId="6AA448E5" w14:textId="77777777" w:rsidTr="002C4DE4">
        <w:trPr>
          <w:trHeight w:val="12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D9F2F4" w14:textId="77777777" w:rsidR="004E466C" w:rsidRPr="00DD6FA8" w:rsidRDefault="004E466C" w:rsidP="002C4DE4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D6FA8">
              <w:rPr>
                <w:rFonts w:ascii="Arial" w:hAnsi="Arial" w:cs="Arial"/>
                <w:i/>
                <w:sz w:val="18"/>
                <w:szCs w:val="18"/>
              </w:rPr>
              <w:t xml:space="preserve">Group Components </w:t>
            </w:r>
            <w:r w:rsidRPr="004E466C">
              <w:rPr>
                <w:rFonts w:ascii="Arial" w:hAnsi="Arial" w:cs="Arial"/>
                <w:i/>
                <w:sz w:val="18"/>
                <w:szCs w:val="18"/>
              </w:rPr>
              <w:t>10%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4A2CC4" w14:textId="77777777" w:rsidR="004E466C" w:rsidRPr="00424EDE" w:rsidRDefault="004E466C" w:rsidP="002C4D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466C" w:rsidRPr="00DD6FA8" w14:paraId="5AE2E28C" w14:textId="77777777" w:rsidTr="002C4DE4">
        <w:trPr>
          <w:trHeight w:val="168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8D7666" w14:textId="77777777" w:rsidR="004E466C" w:rsidRPr="00DD6FA8" w:rsidRDefault="004E466C" w:rsidP="002C4DE4">
            <w:pPr>
              <w:spacing w:before="120" w:after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Group Assignment 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3EE89" w14:textId="77777777" w:rsidR="004E466C" w:rsidRPr="00424EDE" w:rsidRDefault="004E466C" w:rsidP="002C4DE4">
            <w:pPr>
              <w:spacing w:before="120" w:after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24EDE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4E466C" w:rsidRPr="00DD6FA8" w14:paraId="3C270F40" w14:textId="77777777" w:rsidTr="002C4DE4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9FA76" w14:textId="77777777" w:rsidR="004E466C" w:rsidRPr="00DD6FA8" w:rsidRDefault="004E466C" w:rsidP="002C4DE4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D6FA8">
              <w:rPr>
                <w:rFonts w:ascii="Arial" w:hAnsi="Arial" w:cs="Arial"/>
                <w:i/>
                <w:sz w:val="18"/>
                <w:szCs w:val="18"/>
              </w:rPr>
              <w:t xml:space="preserve">Individual Components </w:t>
            </w:r>
            <w:r w:rsidRPr="004E466C">
              <w:rPr>
                <w:rFonts w:ascii="Arial" w:hAnsi="Arial" w:cs="Arial"/>
                <w:i/>
                <w:sz w:val="18"/>
                <w:szCs w:val="18"/>
              </w:rPr>
              <w:t>90%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A6664" w14:textId="77777777" w:rsidR="004E466C" w:rsidRPr="00424EDE" w:rsidRDefault="004E466C" w:rsidP="002C4D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7" w:rsidRPr="00DD6FA8" w14:paraId="4B67FCA5" w14:textId="77777777" w:rsidTr="002C4DE4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6860" w14:textId="575C3832" w:rsidR="008F3077" w:rsidRDefault="008F3077" w:rsidP="002C4DE4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B5D98E" w14:textId="7F04D56F" w:rsidR="008F3077" w:rsidDel="008F3077" w:rsidRDefault="008F3077" w:rsidP="002C4D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4E466C" w:rsidRPr="00DD6FA8" w14:paraId="3D9740D0" w14:textId="77777777" w:rsidTr="002C4DE4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80ED15" w14:textId="62B69E95" w:rsidR="004E466C" w:rsidRPr="00DD6FA8" w:rsidRDefault="004E466C" w:rsidP="002C4DE4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Midterm examination 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140883" w14:textId="12EEB743" w:rsidR="004E466C" w:rsidRPr="00DD6FA8" w:rsidRDefault="008F3077" w:rsidP="002C4D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4E466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E466C" w:rsidRPr="00DD6FA8" w14:paraId="646A6692" w14:textId="77777777" w:rsidTr="002C4DE4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6BF0E6" w14:textId="77777777" w:rsidR="004E466C" w:rsidRPr="00424EDE" w:rsidRDefault="004E466C" w:rsidP="002C4DE4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24EDE">
              <w:rPr>
                <w:rFonts w:ascii="Arial" w:hAnsi="Arial" w:cs="Arial"/>
                <w:bCs/>
                <w:sz w:val="18"/>
                <w:szCs w:val="18"/>
              </w:rPr>
              <w:t xml:space="preserve">Final examination 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5751B" w14:textId="6AF945DA" w:rsidR="004E466C" w:rsidRPr="00424EDE" w:rsidRDefault="008F3077" w:rsidP="002C4DE4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 w:rsidR="004E466C" w:rsidRPr="00424EDE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4E466C" w:rsidRPr="00DD6FA8" w14:paraId="4BF89CA4" w14:textId="77777777" w:rsidTr="002C4DE4">
        <w:trPr>
          <w:trHeight w:val="245"/>
        </w:trPr>
        <w:tc>
          <w:tcPr>
            <w:tcW w:w="327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EDE01B" w14:textId="77777777" w:rsidR="004E466C" w:rsidRPr="00DD6FA8" w:rsidRDefault="004E466C" w:rsidP="002C4DE4">
            <w:pPr>
              <w:spacing w:before="12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FA8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173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BB4952" w14:textId="77777777" w:rsidR="004E466C" w:rsidRPr="00DD6FA8" w:rsidRDefault="004E466C" w:rsidP="002C4DE4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FA8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</w:p>
        </w:tc>
      </w:tr>
    </w:tbl>
    <w:p w14:paraId="1B9E0EDB" w14:textId="77777777" w:rsidR="004E466C" w:rsidRPr="00DD6FA8" w:rsidRDefault="004E466C" w:rsidP="004E466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9ACA1C8" w14:textId="77777777" w:rsidR="004E466C" w:rsidRPr="00DD6FA8" w:rsidRDefault="004E466C" w:rsidP="004E46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D6FA8">
        <w:rPr>
          <w:rFonts w:ascii="Arial" w:hAnsi="Arial" w:cs="Arial"/>
          <w:b/>
          <w:sz w:val="18"/>
          <w:szCs w:val="18"/>
        </w:rPr>
        <w:t>DESCRIPTION AND GRADING CRITERIA OF EACH ASSIGNMENT</w:t>
      </w:r>
    </w:p>
    <w:p w14:paraId="0EC72E4E" w14:textId="77777777" w:rsidR="004E466C" w:rsidRPr="00DD6FA8" w:rsidRDefault="004E466C" w:rsidP="004E46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D6FA8">
        <w:rPr>
          <w:rFonts w:ascii="Arial" w:hAnsi="Arial" w:cs="Arial"/>
          <w:i/>
          <w:sz w:val="18"/>
          <w:szCs w:val="18"/>
        </w:rPr>
        <w:t>(Provide short descriptions and grading criteria of each assignment)</w:t>
      </w:r>
    </w:p>
    <w:p w14:paraId="0A48261B" w14:textId="77777777" w:rsidR="004E466C" w:rsidRPr="00DD6FA8" w:rsidRDefault="004E466C" w:rsidP="004E46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14:paraId="3189BDF9" w14:textId="40A886EA" w:rsidR="008F3077" w:rsidRPr="00624CDC" w:rsidRDefault="008F3077" w:rsidP="00044A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18"/>
          <w:lang w:val="en-GB"/>
        </w:rPr>
      </w:pPr>
      <w:r w:rsidRPr="00624CDC">
        <w:rPr>
          <w:rFonts w:ascii="Arial" w:hAnsi="Arial" w:cs="Arial"/>
          <w:b/>
          <w:bCs/>
          <w:sz w:val="18"/>
          <w:lang w:val="en-GB"/>
        </w:rPr>
        <w:t>1. Group assignment</w:t>
      </w:r>
    </w:p>
    <w:p w14:paraId="1C4C9E8B" w14:textId="5D8D2064" w:rsidR="008F3077" w:rsidRDefault="008F3077" w:rsidP="00044A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The students will be presented with a not structured </w:t>
      </w:r>
      <w:proofErr w:type="gramStart"/>
      <w:r>
        <w:rPr>
          <w:rFonts w:ascii="Arial" w:hAnsi="Arial" w:cs="Arial"/>
          <w:sz w:val="18"/>
          <w:lang w:val="en-GB"/>
        </w:rPr>
        <w:t>problem which</w:t>
      </w:r>
      <w:proofErr w:type="gramEnd"/>
      <w:r>
        <w:rPr>
          <w:rFonts w:ascii="Arial" w:hAnsi="Arial" w:cs="Arial"/>
          <w:sz w:val="18"/>
          <w:lang w:val="en-GB"/>
        </w:rPr>
        <w:t xml:space="preserve"> they need to solve and present together. All major syllabus areas might be covered. It counts 10% towards the final grade.</w:t>
      </w:r>
    </w:p>
    <w:p w14:paraId="0166B765" w14:textId="1E13D6BF" w:rsidR="008F3077" w:rsidRPr="005D2DDD" w:rsidRDefault="008F3077" w:rsidP="00044A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2</w:t>
      </w:r>
      <w:r w:rsidRPr="005D2DDD">
        <w:rPr>
          <w:rFonts w:ascii="Arial" w:hAnsi="Arial" w:cs="Arial"/>
          <w:sz w:val="18"/>
          <w:lang w:val="en-GB"/>
        </w:rPr>
        <w:t xml:space="preserve">. </w:t>
      </w:r>
      <w:r w:rsidRPr="005D2DDD">
        <w:rPr>
          <w:rFonts w:ascii="Arial" w:hAnsi="Arial" w:cs="Arial"/>
          <w:b/>
          <w:bCs/>
          <w:sz w:val="18"/>
          <w:lang w:val="en-GB"/>
        </w:rPr>
        <w:t>Midterm test</w:t>
      </w:r>
    </w:p>
    <w:p w14:paraId="5C9646E7" w14:textId="77777777" w:rsidR="008F3077" w:rsidRPr="005D2DDD" w:rsidRDefault="008F3077" w:rsidP="00044A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lang w:val="en-GB"/>
        </w:rPr>
      </w:pPr>
      <w:r w:rsidRPr="005D2DDD">
        <w:rPr>
          <w:rFonts w:ascii="Arial" w:hAnsi="Arial" w:cs="Arial"/>
          <w:sz w:val="18"/>
          <w:lang w:val="en-GB"/>
        </w:rPr>
        <w:t xml:space="preserve">It </w:t>
      </w:r>
      <w:proofErr w:type="gramStart"/>
      <w:r w:rsidRPr="005D2DDD">
        <w:rPr>
          <w:rFonts w:ascii="Arial" w:hAnsi="Arial" w:cs="Arial"/>
          <w:sz w:val="18"/>
          <w:lang w:val="en-GB"/>
        </w:rPr>
        <w:t>will be held</w:t>
      </w:r>
      <w:proofErr w:type="gramEnd"/>
      <w:r w:rsidRPr="005D2DDD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after the first five topics</w:t>
      </w:r>
      <w:r w:rsidRPr="005D2DDD">
        <w:rPr>
          <w:rFonts w:ascii="Arial" w:hAnsi="Arial" w:cs="Arial"/>
          <w:sz w:val="18"/>
          <w:lang w:val="en-GB"/>
        </w:rPr>
        <w:t xml:space="preserve">. It counts towards </w:t>
      </w:r>
      <w:r>
        <w:rPr>
          <w:rFonts w:ascii="Arial" w:hAnsi="Arial" w:cs="Arial"/>
          <w:sz w:val="18"/>
          <w:lang w:val="en-GB"/>
        </w:rPr>
        <w:t>40</w:t>
      </w:r>
      <w:r w:rsidRPr="005D2DDD">
        <w:rPr>
          <w:rFonts w:ascii="Arial" w:hAnsi="Arial" w:cs="Arial"/>
          <w:sz w:val="18"/>
          <w:lang w:val="en-GB"/>
        </w:rPr>
        <w:t xml:space="preserve">% of the final grade. The midterm test </w:t>
      </w:r>
      <w:proofErr w:type="gramStart"/>
      <w:r w:rsidRPr="005D2DDD">
        <w:rPr>
          <w:rFonts w:ascii="Arial" w:hAnsi="Arial" w:cs="Arial"/>
          <w:sz w:val="18"/>
          <w:lang w:val="en-GB"/>
        </w:rPr>
        <w:t>will be based</w:t>
      </w:r>
      <w:proofErr w:type="gramEnd"/>
      <w:r w:rsidRPr="005D2DDD">
        <w:rPr>
          <w:rFonts w:ascii="Arial" w:hAnsi="Arial" w:cs="Arial"/>
          <w:sz w:val="18"/>
          <w:lang w:val="en-GB"/>
        </w:rPr>
        <w:t xml:space="preserve"> on topics 1-</w:t>
      </w:r>
      <w:r>
        <w:rPr>
          <w:rFonts w:ascii="Arial" w:hAnsi="Arial" w:cs="Arial"/>
          <w:sz w:val="18"/>
          <w:lang w:val="en-GB"/>
        </w:rPr>
        <w:t>5</w:t>
      </w:r>
      <w:r w:rsidRPr="005D2DDD">
        <w:rPr>
          <w:rFonts w:ascii="Arial" w:hAnsi="Arial" w:cs="Arial"/>
          <w:sz w:val="18"/>
          <w:lang w:val="en-GB"/>
        </w:rPr>
        <w:t xml:space="preserve">. Calculators </w:t>
      </w:r>
      <w:proofErr w:type="gramStart"/>
      <w:r w:rsidRPr="005D2DDD">
        <w:rPr>
          <w:rFonts w:ascii="Arial" w:hAnsi="Arial" w:cs="Arial"/>
          <w:sz w:val="18"/>
          <w:lang w:val="en-GB"/>
        </w:rPr>
        <w:t>may be used</w:t>
      </w:r>
      <w:proofErr w:type="gramEnd"/>
      <w:r w:rsidRPr="005D2DDD">
        <w:rPr>
          <w:rFonts w:ascii="Arial" w:hAnsi="Arial" w:cs="Arial"/>
          <w:sz w:val="18"/>
          <w:lang w:val="en-GB"/>
        </w:rPr>
        <w:t xml:space="preserve">, provided they cannot store text. </w:t>
      </w:r>
    </w:p>
    <w:p w14:paraId="642D6714" w14:textId="0BA53527" w:rsidR="008F3077" w:rsidRPr="005D2DDD" w:rsidRDefault="008F3077" w:rsidP="00044A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3</w:t>
      </w:r>
      <w:r w:rsidRPr="005D2DDD">
        <w:rPr>
          <w:rFonts w:ascii="Arial" w:hAnsi="Arial" w:cs="Arial"/>
          <w:sz w:val="18"/>
          <w:lang w:val="en-GB"/>
        </w:rPr>
        <w:t xml:space="preserve">. </w:t>
      </w:r>
      <w:r>
        <w:rPr>
          <w:rFonts w:ascii="Arial" w:hAnsi="Arial" w:cs="Arial"/>
          <w:b/>
          <w:sz w:val="18"/>
          <w:lang w:val="en-GB"/>
        </w:rPr>
        <w:t>Homework and its presentation</w:t>
      </w:r>
    </w:p>
    <w:p w14:paraId="3CD849E0" w14:textId="77777777" w:rsidR="008F3077" w:rsidRPr="005D2DDD" w:rsidRDefault="008F3077" w:rsidP="00044A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18"/>
          <w:lang w:val="en-GB"/>
        </w:rPr>
      </w:pPr>
      <w:r w:rsidRPr="005D2DDD">
        <w:rPr>
          <w:rFonts w:ascii="Arial" w:hAnsi="Arial" w:cs="Arial"/>
          <w:sz w:val="18"/>
          <w:lang w:val="en-GB"/>
        </w:rPr>
        <w:t xml:space="preserve">Students work in </w:t>
      </w:r>
      <w:r>
        <w:rPr>
          <w:rFonts w:ascii="Arial" w:hAnsi="Arial" w:cs="Arial"/>
          <w:sz w:val="18"/>
          <w:lang w:val="en-GB"/>
        </w:rPr>
        <w:t>small groups</w:t>
      </w:r>
      <w:r w:rsidRPr="005D2DDD">
        <w:rPr>
          <w:rFonts w:ascii="Arial" w:hAnsi="Arial" w:cs="Arial"/>
          <w:sz w:val="18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on a selected case study</w:t>
      </w:r>
      <w:r w:rsidRPr="005D2DDD">
        <w:rPr>
          <w:rFonts w:ascii="Arial" w:hAnsi="Arial" w:cs="Arial"/>
          <w:sz w:val="18"/>
          <w:lang w:val="en-GB"/>
        </w:rPr>
        <w:t xml:space="preserve">. Details on the </w:t>
      </w:r>
      <w:r>
        <w:rPr>
          <w:rFonts w:ascii="Arial" w:hAnsi="Arial" w:cs="Arial"/>
          <w:sz w:val="18"/>
          <w:lang w:val="en-GB"/>
        </w:rPr>
        <w:t>homework requirements</w:t>
      </w:r>
      <w:r w:rsidRPr="005D2DDD">
        <w:rPr>
          <w:rFonts w:ascii="Arial" w:hAnsi="Arial" w:cs="Arial"/>
          <w:sz w:val="18"/>
          <w:lang w:val="en-GB"/>
        </w:rPr>
        <w:t xml:space="preserve"> </w:t>
      </w:r>
      <w:proofErr w:type="gramStart"/>
      <w:r w:rsidRPr="005D2DDD">
        <w:rPr>
          <w:rFonts w:ascii="Arial" w:hAnsi="Arial" w:cs="Arial"/>
          <w:sz w:val="18"/>
          <w:lang w:val="en-GB"/>
        </w:rPr>
        <w:t>will be provided</w:t>
      </w:r>
      <w:proofErr w:type="gramEnd"/>
      <w:r w:rsidRPr="005D2DDD">
        <w:rPr>
          <w:rFonts w:ascii="Arial" w:hAnsi="Arial" w:cs="Arial"/>
          <w:sz w:val="18"/>
          <w:lang w:val="en-GB"/>
        </w:rPr>
        <w:t xml:space="preserve"> during the first week. </w:t>
      </w:r>
      <w:r>
        <w:rPr>
          <w:rFonts w:ascii="Arial" w:hAnsi="Arial" w:cs="Arial"/>
          <w:sz w:val="18"/>
          <w:lang w:val="en-GB"/>
        </w:rPr>
        <w:t>Homework report</w:t>
      </w:r>
      <w:r w:rsidRPr="005D2DDD">
        <w:rPr>
          <w:rFonts w:ascii="Arial" w:hAnsi="Arial" w:cs="Arial"/>
          <w:sz w:val="18"/>
          <w:lang w:val="en-GB"/>
        </w:rPr>
        <w:t xml:space="preserve"> must comply with ISM requirements.</w:t>
      </w:r>
    </w:p>
    <w:p w14:paraId="5096E786" w14:textId="6C38405D" w:rsidR="008F3077" w:rsidRPr="005D2DDD" w:rsidRDefault="008F3077" w:rsidP="00044A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Homework and its presentation</w:t>
      </w:r>
      <w:r w:rsidRPr="005D2DDD">
        <w:rPr>
          <w:rFonts w:ascii="Arial" w:hAnsi="Arial" w:cs="Arial"/>
          <w:sz w:val="18"/>
          <w:lang w:val="en-GB"/>
        </w:rPr>
        <w:t xml:space="preserve"> counts towards </w:t>
      </w:r>
      <w:r>
        <w:rPr>
          <w:rFonts w:ascii="Arial" w:hAnsi="Arial" w:cs="Arial"/>
          <w:sz w:val="18"/>
          <w:lang w:val="en-GB"/>
        </w:rPr>
        <w:t>10</w:t>
      </w:r>
      <w:r w:rsidRPr="005D2DDD">
        <w:rPr>
          <w:rFonts w:ascii="Arial" w:hAnsi="Arial" w:cs="Arial"/>
          <w:sz w:val="18"/>
          <w:lang w:val="en-GB"/>
        </w:rPr>
        <w:t xml:space="preserve">% of the final grade. </w:t>
      </w:r>
    </w:p>
    <w:p w14:paraId="5FD0C7BD" w14:textId="5BD9CAE7" w:rsidR="008F3077" w:rsidRPr="005D2DDD" w:rsidRDefault="008F3077" w:rsidP="00044A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4</w:t>
      </w:r>
      <w:r w:rsidRPr="005D2DDD">
        <w:rPr>
          <w:rFonts w:ascii="Arial" w:hAnsi="Arial" w:cs="Arial"/>
          <w:sz w:val="18"/>
          <w:lang w:val="en-GB"/>
        </w:rPr>
        <w:t xml:space="preserve">. </w:t>
      </w:r>
      <w:r w:rsidRPr="005D2DDD">
        <w:rPr>
          <w:rFonts w:ascii="Arial" w:hAnsi="Arial" w:cs="Arial"/>
          <w:b/>
          <w:bCs/>
          <w:sz w:val="18"/>
          <w:lang w:val="en-GB"/>
        </w:rPr>
        <w:t>Final exam</w:t>
      </w:r>
    </w:p>
    <w:p w14:paraId="678B8D27" w14:textId="77777777" w:rsidR="008F3077" w:rsidRPr="005D2DDD" w:rsidRDefault="008F3077" w:rsidP="00044A6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lang w:val="en-GB"/>
        </w:rPr>
      </w:pPr>
      <w:r w:rsidRPr="005D2DDD">
        <w:rPr>
          <w:rFonts w:ascii="Arial" w:hAnsi="Arial" w:cs="Arial"/>
          <w:sz w:val="18"/>
          <w:lang w:val="en-GB"/>
        </w:rPr>
        <w:t>The exam counts towards 4</w:t>
      </w:r>
      <w:r>
        <w:rPr>
          <w:rFonts w:ascii="Arial" w:hAnsi="Arial" w:cs="Arial"/>
          <w:sz w:val="18"/>
          <w:lang w:val="en-GB"/>
        </w:rPr>
        <w:t>0</w:t>
      </w:r>
      <w:r w:rsidRPr="005D2DDD">
        <w:rPr>
          <w:rFonts w:ascii="Arial" w:hAnsi="Arial" w:cs="Arial"/>
          <w:sz w:val="18"/>
          <w:lang w:val="en-GB"/>
        </w:rPr>
        <w:t xml:space="preserve">% of the final grade. The exam </w:t>
      </w:r>
      <w:proofErr w:type="gramStart"/>
      <w:r w:rsidRPr="005D2DDD">
        <w:rPr>
          <w:rFonts w:ascii="Arial" w:hAnsi="Arial" w:cs="Arial"/>
          <w:sz w:val="18"/>
          <w:lang w:val="en-GB"/>
        </w:rPr>
        <w:t>will be based</w:t>
      </w:r>
      <w:proofErr w:type="gramEnd"/>
      <w:r w:rsidRPr="005D2DDD">
        <w:rPr>
          <w:rFonts w:ascii="Arial" w:hAnsi="Arial" w:cs="Arial"/>
          <w:sz w:val="18"/>
          <w:lang w:val="en-GB"/>
        </w:rPr>
        <w:t xml:space="preserve"> on topics </w:t>
      </w:r>
      <w:r>
        <w:rPr>
          <w:rFonts w:ascii="Arial" w:hAnsi="Arial" w:cs="Arial"/>
          <w:sz w:val="18"/>
          <w:lang w:val="en-GB"/>
        </w:rPr>
        <w:t>7</w:t>
      </w:r>
      <w:r w:rsidRPr="005D2DDD">
        <w:rPr>
          <w:rFonts w:ascii="Arial" w:hAnsi="Arial" w:cs="Arial"/>
          <w:sz w:val="18"/>
          <w:lang w:val="en-GB"/>
        </w:rPr>
        <w:t>-1</w:t>
      </w:r>
      <w:r>
        <w:rPr>
          <w:rFonts w:ascii="Arial" w:hAnsi="Arial" w:cs="Arial"/>
          <w:sz w:val="18"/>
          <w:lang w:val="en-GB"/>
        </w:rPr>
        <w:t xml:space="preserve">2. </w:t>
      </w:r>
      <w:r w:rsidRPr="005D2DDD">
        <w:rPr>
          <w:rFonts w:ascii="Arial" w:hAnsi="Arial" w:cs="Arial"/>
          <w:sz w:val="18"/>
          <w:lang w:val="en-GB"/>
        </w:rPr>
        <w:t xml:space="preserve">Calculators </w:t>
      </w:r>
      <w:proofErr w:type="gramStart"/>
      <w:r w:rsidRPr="005D2DDD">
        <w:rPr>
          <w:rFonts w:ascii="Arial" w:hAnsi="Arial" w:cs="Arial"/>
          <w:sz w:val="18"/>
          <w:lang w:val="en-GB"/>
        </w:rPr>
        <w:t>may be used</w:t>
      </w:r>
      <w:proofErr w:type="gramEnd"/>
      <w:r w:rsidRPr="005D2DDD">
        <w:rPr>
          <w:rFonts w:ascii="Arial" w:hAnsi="Arial" w:cs="Arial"/>
          <w:sz w:val="18"/>
          <w:lang w:val="en-GB"/>
        </w:rPr>
        <w:t>, provided they cannot store text.</w:t>
      </w:r>
    </w:p>
    <w:p w14:paraId="2D949593" w14:textId="77777777" w:rsidR="008F3077" w:rsidRDefault="008F3077" w:rsidP="008F307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2105E2">
        <w:rPr>
          <w:rFonts w:ascii="Arial" w:hAnsi="Arial" w:cs="Arial"/>
          <w:b/>
          <w:bCs/>
          <w:sz w:val="18"/>
          <w:szCs w:val="18"/>
        </w:rPr>
        <w:t>RETAKE POLICY</w:t>
      </w:r>
    </w:p>
    <w:p w14:paraId="3F8C6AC7" w14:textId="2732C66A" w:rsidR="008F3077" w:rsidRDefault="008F3077" w:rsidP="008F307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val="en-GB"/>
        </w:rPr>
      </w:pPr>
      <w:r w:rsidRPr="005D2DDD">
        <w:rPr>
          <w:rFonts w:ascii="Arial" w:hAnsi="Arial" w:cs="Arial"/>
          <w:sz w:val="18"/>
          <w:lang w:val="en-GB"/>
        </w:rPr>
        <w:t xml:space="preserve">In case of a negative final grade, students </w:t>
      </w:r>
      <w:proofErr w:type="gramStart"/>
      <w:r w:rsidRPr="005D2DDD">
        <w:rPr>
          <w:rFonts w:ascii="Arial" w:hAnsi="Arial" w:cs="Arial"/>
          <w:sz w:val="18"/>
          <w:lang w:val="en-GB"/>
        </w:rPr>
        <w:t>are allowed</w:t>
      </w:r>
      <w:proofErr w:type="gramEnd"/>
      <w:r w:rsidRPr="005D2DDD">
        <w:rPr>
          <w:rFonts w:ascii="Arial" w:hAnsi="Arial" w:cs="Arial"/>
          <w:sz w:val="18"/>
          <w:lang w:val="en-GB"/>
        </w:rPr>
        <w:t xml:space="preserve"> a re-sit exam. It will cover all course material. The weight of a re-sit is </w:t>
      </w:r>
      <w:r>
        <w:rPr>
          <w:rFonts w:ascii="Arial" w:hAnsi="Arial" w:cs="Arial"/>
          <w:sz w:val="18"/>
          <w:lang w:val="en-GB"/>
        </w:rPr>
        <w:t>8</w:t>
      </w:r>
      <w:r w:rsidRPr="005D2DDD">
        <w:rPr>
          <w:rFonts w:ascii="Arial" w:hAnsi="Arial" w:cs="Arial"/>
          <w:sz w:val="18"/>
          <w:lang w:val="en-GB"/>
        </w:rPr>
        <w:t xml:space="preserve">0%. </w:t>
      </w:r>
      <w:r>
        <w:rPr>
          <w:rFonts w:ascii="Arial" w:hAnsi="Arial" w:cs="Arial"/>
          <w:sz w:val="18"/>
          <w:lang w:val="en-GB"/>
        </w:rPr>
        <w:t>Homework</w:t>
      </w:r>
      <w:r w:rsidRPr="005D2DDD">
        <w:rPr>
          <w:rFonts w:ascii="Arial" w:hAnsi="Arial" w:cs="Arial"/>
          <w:sz w:val="18"/>
          <w:lang w:val="en-GB"/>
        </w:rPr>
        <w:t xml:space="preserve"> </w:t>
      </w:r>
      <w:proofErr w:type="gramStart"/>
      <w:r w:rsidRPr="005D2DDD">
        <w:rPr>
          <w:rFonts w:ascii="Arial" w:hAnsi="Arial" w:cs="Arial"/>
          <w:sz w:val="18"/>
          <w:lang w:val="en-GB"/>
        </w:rPr>
        <w:t>cannot be rewritten</w:t>
      </w:r>
      <w:proofErr w:type="gramEnd"/>
      <w:r>
        <w:rPr>
          <w:rFonts w:ascii="Arial" w:hAnsi="Arial" w:cs="Arial"/>
          <w:sz w:val="18"/>
          <w:lang w:val="en-GB"/>
        </w:rPr>
        <w:t>, group assignment may not be redone,</w:t>
      </w:r>
      <w:r w:rsidRPr="005D2DDD">
        <w:rPr>
          <w:rFonts w:ascii="Arial" w:hAnsi="Arial" w:cs="Arial"/>
          <w:sz w:val="18"/>
          <w:lang w:val="en-GB"/>
        </w:rPr>
        <w:t xml:space="preserve"> but its evaluation (if positive) is not annulled.</w:t>
      </w:r>
    </w:p>
    <w:p w14:paraId="3C015C3B" w14:textId="77777777" w:rsidR="004E466C" w:rsidRDefault="004E466C" w:rsidP="004E46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1B3C0D9D" w14:textId="77777777" w:rsidR="004E466C" w:rsidRPr="00DD6FA8" w:rsidRDefault="004E466C" w:rsidP="004E466C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D6FA8">
        <w:rPr>
          <w:rFonts w:ascii="Arial" w:hAnsi="Arial" w:cs="Arial"/>
          <w:b/>
          <w:sz w:val="18"/>
          <w:szCs w:val="18"/>
          <w:lang w:val="en-US"/>
        </w:rPr>
        <w:t>REQUIRED READINGS</w:t>
      </w:r>
    </w:p>
    <w:p w14:paraId="46B5333E" w14:textId="5C6D191D" w:rsidR="008F3077" w:rsidRPr="00E81B4D" w:rsidRDefault="008F3077" w:rsidP="008F3077">
      <w:pPr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>Advanced financial accounting – handouts (provided by the lecturer on</w:t>
      </w:r>
      <w:r w:rsidR="003164F1">
        <w:rPr>
          <w:rFonts w:ascii="Arial" w:hAnsi="Arial" w:cs="Arial"/>
          <w:bCs/>
          <w:sz w:val="18"/>
          <w:lang w:val="en-GB"/>
        </w:rPr>
        <w:t>l</w:t>
      </w:r>
      <w:r>
        <w:rPr>
          <w:rFonts w:ascii="Arial" w:hAnsi="Arial" w:cs="Arial"/>
          <w:bCs/>
          <w:sz w:val="18"/>
          <w:lang w:val="en-GB"/>
        </w:rPr>
        <w:t>ine)</w:t>
      </w:r>
    </w:p>
    <w:p w14:paraId="307BB1A8" w14:textId="77777777" w:rsidR="008F3077" w:rsidRPr="00152690" w:rsidRDefault="008F3077" w:rsidP="008F3077">
      <w:pPr>
        <w:numPr>
          <w:ilvl w:val="0"/>
          <w:numId w:val="31"/>
        </w:numPr>
        <w:spacing w:after="0" w:line="240" w:lineRule="auto"/>
        <w:rPr>
          <w:rFonts w:ascii="Arial" w:hAnsi="Arial" w:cs="Arial"/>
          <w:bCs/>
          <w:sz w:val="18"/>
          <w:lang w:val="en-GB"/>
        </w:rPr>
      </w:pPr>
      <w:proofErr w:type="spellStart"/>
      <w:r>
        <w:rPr>
          <w:rFonts w:ascii="Arial" w:hAnsi="Arial" w:cs="Arial"/>
          <w:sz w:val="18"/>
          <w:lang w:val="it-IT"/>
        </w:rPr>
        <w:t>Relevant</w:t>
      </w:r>
      <w:proofErr w:type="spellEnd"/>
      <w:r>
        <w:rPr>
          <w:rFonts w:ascii="Arial" w:hAnsi="Arial" w:cs="Arial"/>
          <w:sz w:val="18"/>
          <w:lang w:val="it-IT"/>
        </w:rPr>
        <w:t xml:space="preserve"> International Financial Reporting </w:t>
      </w:r>
      <w:proofErr w:type="spellStart"/>
      <w:r>
        <w:rPr>
          <w:rFonts w:ascii="Arial" w:hAnsi="Arial" w:cs="Arial"/>
          <w:sz w:val="18"/>
          <w:lang w:val="it-IT"/>
        </w:rPr>
        <w:t>Standards</w:t>
      </w:r>
      <w:proofErr w:type="spellEnd"/>
      <w:r>
        <w:rPr>
          <w:rFonts w:ascii="Arial" w:hAnsi="Arial" w:cs="Arial"/>
          <w:sz w:val="18"/>
          <w:lang w:val="it-IT"/>
        </w:rPr>
        <w:t>.</w:t>
      </w:r>
    </w:p>
    <w:p w14:paraId="145B5599" w14:textId="77777777" w:rsidR="008F3077" w:rsidRDefault="008F3077" w:rsidP="008F307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25" w:lineRule="auto"/>
        <w:ind w:left="740" w:right="600" w:hanging="367"/>
        <w:jc w:val="both"/>
        <w:rPr>
          <w:rFonts w:ascii="Arial" w:hAnsi="Arial" w:cs="Arial"/>
          <w:sz w:val="18"/>
          <w:szCs w:val="18"/>
        </w:rPr>
      </w:pPr>
      <w:r w:rsidRPr="002C4FF1">
        <w:rPr>
          <w:rFonts w:ascii="Arial" w:hAnsi="Arial" w:cs="Arial"/>
          <w:sz w:val="18"/>
          <w:szCs w:val="18"/>
        </w:rPr>
        <w:t xml:space="preserve">Beams, F.A., Anthony, J.H., </w:t>
      </w:r>
      <w:proofErr w:type="spellStart"/>
      <w:r>
        <w:rPr>
          <w:rFonts w:ascii="Arial" w:hAnsi="Arial" w:cs="Arial"/>
          <w:sz w:val="18"/>
          <w:szCs w:val="18"/>
        </w:rPr>
        <w:t>Bettinghaus</w:t>
      </w:r>
      <w:proofErr w:type="spellEnd"/>
      <w:r>
        <w:rPr>
          <w:rFonts w:ascii="Arial" w:hAnsi="Arial" w:cs="Arial"/>
          <w:sz w:val="18"/>
          <w:szCs w:val="18"/>
        </w:rPr>
        <w:t>, B., Smith, K.,</w:t>
      </w:r>
      <w:r w:rsidRPr="002C4FF1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17</w:t>
      </w:r>
      <w:r w:rsidRPr="002C4FF1">
        <w:rPr>
          <w:rFonts w:ascii="Arial" w:hAnsi="Arial" w:cs="Arial"/>
          <w:sz w:val="18"/>
          <w:szCs w:val="18"/>
        </w:rPr>
        <w:t>. Advanced Accounting,</w:t>
      </w:r>
      <w:r>
        <w:rPr>
          <w:rFonts w:ascii="Arial" w:hAnsi="Arial" w:cs="Arial"/>
          <w:sz w:val="18"/>
          <w:szCs w:val="18"/>
        </w:rPr>
        <w:t xml:space="preserve"> Global Edition.</w:t>
      </w:r>
      <w:r w:rsidRPr="002C4FF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C4FF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Pr="002C4FF1">
        <w:rPr>
          <w:rFonts w:ascii="Arial" w:hAnsi="Arial" w:cs="Arial"/>
          <w:vertAlign w:val="superscript"/>
        </w:rPr>
        <w:t>th</w:t>
      </w:r>
      <w:proofErr w:type="gramEnd"/>
      <w:r w:rsidRPr="002C4FF1">
        <w:rPr>
          <w:rFonts w:ascii="Arial" w:hAnsi="Arial" w:cs="Arial"/>
          <w:sz w:val="18"/>
          <w:szCs w:val="18"/>
        </w:rPr>
        <w:t xml:space="preserve"> ed. </w:t>
      </w:r>
      <w:r>
        <w:rPr>
          <w:rFonts w:ascii="Arial" w:hAnsi="Arial" w:cs="Arial"/>
          <w:sz w:val="18"/>
          <w:szCs w:val="18"/>
        </w:rPr>
        <w:t>Pearson.</w:t>
      </w:r>
      <w:r w:rsidRPr="002C4FF1">
        <w:rPr>
          <w:rFonts w:ascii="Arial" w:hAnsi="Arial" w:cs="Arial"/>
          <w:sz w:val="18"/>
          <w:szCs w:val="18"/>
        </w:rPr>
        <w:t xml:space="preserve"> </w:t>
      </w:r>
    </w:p>
    <w:p w14:paraId="4761C3B0" w14:textId="77777777" w:rsidR="004E466C" w:rsidRPr="00DD6FA8" w:rsidRDefault="004E466C" w:rsidP="004E466C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0C9D0398" w14:textId="77777777" w:rsidR="004E466C" w:rsidRPr="00DD6FA8" w:rsidRDefault="004E466C" w:rsidP="004E466C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D6FA8">
        <w:rPr>
          <w:rFonts w:ascii="Arial" w:hAnsi="Arial" w:cs="Arial"/>
          <w:b/>
          <w:sz w:val="18"/>
          <w:szCs w:val="18"/>
          <w:lang w:val="en-US"/>
        </w:rPr>
        <w:t>ADDITIONAL READINGS</w:t>
      </w:r>
    </w:p>
    <w:p w14:paraId="7E9F8AB9" w14:textId="77777777" w:rsidR="004E466C" w:rsidRDefault="004E466C" w:rsidP="004E466C">
      <w:pPr>
        <w:pStyle w:val="metod"/>
        <w:ind w:firstLine="0"/>
        <w:jc w:val="both"/>
        <w:rPr>
          <w:rFonts w:ascii="Arial" w:hAnsi="Arial" w:cs="Arial"/>
          <w:sz w:val="18"/>
          <w:szCs w:val="18"/>
          <w:lang w:val="en-US"/>
        </w:rPr>
      </w:pPr>
    </w:p>
    <w:p w14:paraId="7E42626F" w14:textId="77777777" w:rsidR="008F3077" w:rsidRDefault="008F3077" w:rsidP="008F307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ACCA study books for F7 module (any edition after 2016)</w:t>
      </w:r>
    </w:p>
    <w:p w14:paraId="53C7272C" w14:textId="77777777" w:rsidR="008F3077" w:rsidRPr="002C4FF1" w:rsidRDefault="008F3077" w:rsidP="008F307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 w:rsidRPr="002C4FF1">
        <w:rPr>
          <w:rFonts w:ascii="Arial" w:hAnsi="Arial" w:cs="Arial"/>
          <w:sz w:val="18"/>
          <w:szCs w:val="18"/>
        </w:rPr>
        <w:t xml:space="preserve">Scott, W.2003. Financial Accounting Theory. Irwin. </w:t>
      </w:r>
    </w:p>
    <w:p w14:paraId="1A369DBA" w14:textId="77777777" w:rsidR="008F3077" w:rsidRPr="002C4FF1" w:rsidRDefault="008F3077" w:rsidP="008F307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18"/>
          <w:szCs w:val="18"/>
        </w:rPr>
      </w:pPr>
    </w:p>
    <w:p w14:paraId="3C4D9AC6" w14:textId="77777777" w:rsidR="008F3077" w:rsidRPr="002C4FF1" w:rsidRDefault="008F3077" w:rsidP="008F307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 w:rsidRPr="002C4FF1">
        <w:rPr>
          <w:rFonts w:ascii="Arial" w:hAnsi="Arial" w:cs="Arial"/>
          <w:sz w:val="18"/>
          <w:szCs w:val="18"/>
        </w:rPr>
        <w:t xml:space="preserve">Lewis &amp; </w:t>
      </w:r>
      <w:proofErr w:type="spellStart"/>
      <w:r w:rsidRPr="002C4FF1">
        <w:rPr>
          <w:rFonts w:ascii="Arial" w:hAnsi="Arial" w:cs="Arial"/>
          <w:sz w:val="18"/>
          <w:szCs w:val="18"/>
        </w:rPr>
        <w:t>Pendrill</w:t>
      </w:r>
      <w:proofErr w:type="spellEnd"/>
      <w:r w:rsidRPr="002C4FF1">
        <w:rPr>
          <w:rFonts w:ascii="Arial" w:hAnsi="Arial" w:cs="Arial"/>
          <w:sz w:val="18"/>
          <w:szCs w:val="18"/>
        </w:rPr>
        <w:t xml:space="preserve">, 2004.Advanced Financial Accounting, 7 ed. Pearson Education. </w:t>
      </w:r>
    </w:p>
    <w:p w14:paraId="08376C3C" w14:textId="77777777" w:rsidR="008F3077" w:rsidRPr="002C4FF1" w:rsidRDefault="008F3077" w:rsidP="008F3077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18"/>
          <w:szCs w:val="18"/>
        </w:rPr>
      </w:pPr>
      <w:r w:rsidRPr="002C4FF1">
        <w:rPr>
          <w:rFonts w:ascii="Arial" w:hAnsi="Arial" w:cs="Arial"/>
          <w:sz w:val="18"/>
          <w:szCs w:val="18"/>
        </w:rPr>
        <w:t>Kothari</w:t>
      </w:r>
      <w:r>
        <w:rPr>
          <w:rFonts w:ascii="Arial" w:hAnsi="Arial" w:cs="Arial"/>
          <w:sz w:val="18"/>
          <w:szCs w:val="18"/>
        </w:rPr>
        <w:t xml:space="preserve"> </w:t>
      </w:r>
      <w:r w:rsidRPr="002C4FF1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</w:t>
      </w:r>
      <w:r w:rsidRPr="002C4FF1">
        <w:rPr>
          <w:rFonts w:ascii="Arial" w:hAnsi="Arial" w:cs="Arial"/>
          <w:sz w:val="18"/>
          <w:szCs w:val="18"/>
        </w:rPr>
        <w:t xml:space="preserve">Barone, 2011. Advanced Financial Accounting: an International Approach, 1 ed. Pearson Education. </w:t>
      </w:r>
    </w:p>
    <w:p w14:paraId="08E63CDD" w14:textId="3F49365F" w:rsidR="004E466C" w:rsidRDefault="004E466C" w:rsidP="00DA66F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6B7ACDB" w14:textId="786FB032" w:rsidR="004E466C" w:rsidRDefault="004E466C" w:rsidP="00DA66F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E481360" w14:textId="163809DB" w:rsidR="004E466C" w:rsidRDefault="004E466C">
      <w:pPr>
        <w:spacing w:after="0" w:line="240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C5BC33" w14:textId="15EBBA7B" w:rsidR="001B338B" w:rsidRPr="00DD6FA8" w:rsidRDefault="001B338B" w:rsidP="001B338B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DD6FA8">
        <w:rPr>
          <w:rFonts w:ascii="Arial" w:hAnsi="Arial" w:cs="Arial"/>
          <w:b/>
          <w:sz w:val="18"/>
          <w:szCs w:val="18"/>
          <w:lang w:val="en-US"/>
        </w:rPr>
        <w:lastRenderedPageBreak/>
        <w:t>ANNEX</w:t>
      </w:r>
    </w:p>
    <w:p w14:paraId="0F5DACF8" w14:textId="77777777" w:rsidR="001B338B" w:rsidRPr="00DD6FA8" w:rsidRDefault="001B338B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D5D9AF9" w14:textId="5B30B144" w:rsidR="007C6666" w:rsidRPr="00DD6FA8" w:rsidRDefault="0073580A" w:rsidP="00DB6F63">
      <w:pPr>
        <w:pStyle w:val="metod"/>
        <w:ind w:firstLine="0"/>
        <w:jc w:val="center"/>
        <w:rPr>
          <w:rFonts w:ascii="Arial" w:hAnsi="Arial" w:cs="Arial"/>
          <w:b/>
          <w:sz w:val="20"/>
          <w:lang w:val="en-US"/>
        </w:rPr>
      </w:pPr>
      <w:r w:rsidRPr="00DD6FA8">
        <w:rPr>
          <w:rFonts w:ascii="Arial" w:hAnsi="Arial" w:cs="Arial"/>
          <w:b/>
          <w:sz w:val="20"/>
          <w:lang w:val="en-US"/>
        </w:rPr>
        <w:t>DEGREE</w:t>
      </w:r>
      <w:r w:rsidR="00DB6F63" w:rsidRPr="00DD6FA8">
        <w:rPr>
          <w:rFonts w:ascii="Arial" w:hAnsi="Arial" w:cs="Arial"/>
          <w:b/>
          <w:sz w:val="20"/>
          <w:lang w:val="en-US"/>
        </w:rPr>
        <w:t xml:space="preserve"> LEVEL LEARNING OBJECTIVES</w:t>
      </w:r>
    </w:p>
    <w:p w14:paraId="7D0E3022" w14:textId="78B7B60A" w:rsidR="007C0E00" w:rsidRPr="00DD6FA8" w:rsidRDefault="007C0E00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A68429E" w14:textId="77777777" w:rsidR="00DB6F63" w:rsidRPr="00DD6FA8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0805D9E" w14:textId="77777777" w:rsidR="00DB6F63" w:rsidRPr="00DD6FA8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ACF87CF" w14:textId="7DE760FA" w:rsidR="007C0E00" w:rsidRPr="00DD6FA8" w:rsidRDefault="00194A85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D6FA8">
        <w:rPr>
          <w:rFonts w:ascii="Arial" w:hAnsi="Arial" w:cs="Arial"/>
          <w:b/>
          <w:sz w:val="18"/>
          <w:szCs w:val="18"/>
          <w:lang w:val="en-US"/>
        </w:rPr>
        <w:t xml:space="preserve">Learning objectives for the </w:t>
      </w:r>
      <w:r w:rsidRPr="00DD6FA8">
        <w:rPr>
          <w:rFonts w:ascii="Arial" w:hAnsi="Arial" w:cs="Arial"/>
          <w:b/>
          <w:sz w:val="18"/>
          <w:szCs w:val="18"/>
          <w:u w:val="single"/>
          <w:lang w:val="en-US"/>
        </w:rPr>
        <w:t>Bachelor of Business Management</w:t>
      </w:r>
    </w:p>
    <w:p w14:paraId="659A3E73" w14:textId="4323B923" w:rsidR="001B338B" w:rsidRPr="00DD6FA8" w:rsidRDefault="00194A85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proofErr w:type="spellStart"/>
      <w:r w:rsidRPr="00DD6FA8">
        <w:rPr>
          <w:rFonts w:ascii="Arial" w:hAnsi="Arial" w:cs="Arial"/>
          <w:i/>
          <w:sz w:val="16"/>
          <w:szCs w:val="18"/>
          <w:lang w:val="en-US"/>
        </w:rPr>
        <w:t>Programmes</w:t>
      </w:r>
      <w:proofErr w:type="spellEnd"/>
      <w:r w:rsidRPr="00DD6FA8">
        <w:rPr>
          <w:rFonts w:ascii="Arial" w:hAnsi="Arial" w:cs="Arial"/>
          <w:i/>
          <w:sz w:val="16"/>
          <w:szCs w:val="18"/>
          <w:lang w:val="en-US"/>
        </w:rPr>
        <w:t xml:space="preserve">: </w:t>
      </w:r>
    </w:p>
    <w:p w14:paraId="1FBD0245" w14:textId="77777777" w:rsidR="001B338B" w:rsidRPr="00DD6FA8" w:rsidRDefault="00194A85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DD6FA8">
        <w:rPr>
          <w:rFonts w:ascii="Arial" w:hAnsi="Arial" w:cs="Arial"/>
          <w:i/>
          <w:sz w:val="16"/>
          <w:szCs w:val="18"/>
          <w:lang w:val="en-US"/>
        </w:rPr>
        <w:t xml:space="preserve">International Business and Communication, </w:t>
      </w:r>
    </w:p>
    <w:p w14:paraId="3765DE8C" w14:textId="77777777" w:rsidR="001B338B" w:rsidRPr="00DD6FA8" w:rsidRDefault="001B338B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DD6FA8">
        <w:rPr>
          <w:rFonts w:ascii="Arial" w:hAnsi="Arial" w:cs="Arial"/>
          <w:i/>
          <w:sz w:val="16"/>
          <w:szCs w:val="18"/>
          <w:lang w:val="en-US"/>
        </w:rPr>
        <w:t>Business Management and M</w:t>
      </w:r>
      <w:r w:rsidR="00194A85" w:rsidRPr="00DD6FA8">
        <w:rPr>
          <w:rFonts w:ascii="Arial" w:hAnsi="Arial" w:cs="Arial"/>
          <w:i/>
          <w:sz w:val="16"/>
          <w:szCs w:val="18"/>
          <w:lang w:val="en-US"/>
        </w:rPr>
        <w:t xml:space="preserve">arketing, Finance, </w:t>
      </w:r>
    </w:p>
    <w:p w14:paraId="50E30118" w14:textId="6329D559" w:rsidR="00194A85" w:rsidRPr="00DD6FA8" w:rsidRDefault="00194A85" w:rsidP="00B259CF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DD6FA8">
        <w:rPr>
          <w:rFonts w:ascii="Arial" w:hAnsi="Arial" w:cs="Arial"/>
          <w:i/>
          <w:sz w:val="16"/>
          <w:szCs w:val="18"/>
          <w:lang w:val="en-US"/>
        </w:rPr>
        <w:t>In</w:t>
      </w:r>
      <w:r w:rsidR="001B338B" w:rsidRPr="00DD6FA8">
        <w:rPr>
          <w:rFonts w:ascii="Arial" w:hAnsi="Arial" w:cs="Arial"/>
          <w:i/>
          <w:sz w:val="16"/>
          <w:szCs w:val="18"/>
          <w:lang w:val="en-US"/>
        </w:rPr>
        <w:t>dustrial Technology Management</w:t>
      </w:r>
    </w:p>
    <w:p w14:paraId="56EA9CDC" w14:textId="77777777" w:rsidR="001B338B" w:rsidRPr="00DD6FA8" w:rsidRDefault="001B338B" w:rsidP="00B259CF">
      <w:pPr>
        <w:pStyle w:val="metod"/>
        <w:ind w:firstLine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7C0E00" w:rsidRPr="00DD6FA8" w14:paraId="4C3AF666" w14:textId="77777777" w:rsidTr="00194A85">
        <w:tc>
          <w:tcPr>
            <w:tcW w:w="2405" w:type="dxa"/>
          </w:tcPr>
          <w:p w14:paraId="1891CA7E" w14:textId="72743C9C" w:rsidR="007C0E00" w:rsidRPr="00DD6FA8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Goals</w:t>
            </w:r>
          </w:p>
        </w:tc>
        <w:tc>
          <w:tcPr>
            <w:tcW w:w="7557" w:type="dxa"/>
          </w:tcPr>
          <w:p w14:paraId="2C1211A0" w14:textId="60D8E411" w:rsidR="007C0E00" w:rsidRPr="00DD6FA8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Objectives</w:t>
            </w:r>
          </w:p>
        </w:tc>
      </w:tr>
      <w:tr w:rsidR="007C0E00" w:rsidRPr="00DD6FA8" w14:paraId="476BBF1C" w14:textId="77777777" w:rsidTr="00194A85">
        <w:tc>
          <w:tcPr>
            <w:tcW w:w="2405" w:type="dxa"/>
            <w:vMerge w:val="restart"/>
          </w:tcPr>
          <w:p w14:paraId="569715A6" w14:textId="2E1441CA" w:rsidR="007C0E00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be critical thinkers</w:t>
            </w:r>
          </w:p>
        </w:tc>
        <w:tc>
          <w:tcPr>
            <w:tcW w:w="7557" w:type="dxa"/>
          </w:tcPr>
          <w:p w14:paraId="7D267537" w14:textId="7905BFC6" w:rsidR="007C0E00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7C0E00" w:rsidRPr="00DD6FA8">
              <w:rPr>
                <w:rFonts w:ascii="Arial" w:hAnsi="Arial" w:cs="Arial"/>
                <w:sz w:val="18"/>
                <w:szCs w:val="18"/>
                <w:lang w:val="en-US"/>
              </w:rPr>
              <w:t>LO1.1. Students will be able to understand core concepts and methods in the business disciplines</w:t>
            </w:r>
          </w:p>
        </w:tc>
      </w:tr>
      <w:tr w:rsidR="007C0E00" w:rsidRPr="00DD6FA8" w14:paraId="7AA20BD5" w14:textId="77777777" w:rsidTr="00194A85">
        <w:tc>
          <w:tcPr>
            <w:tcW w:w="2405" w:type="dxa"/>
            <w:vMerge/>
          </w:tcPr>
          <w:p w14:paraId="0D0B87A4" w14:textId="77777777" w:rsidR="007C0E00" w:rsidRPr="00DD6FA8" w:rsidRDefault="007C0E00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0E5F573A" w14:textId="160FE69F" w:rsidR="007C0E00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7C0E00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LO1.2. Students will be able to conduct a contextual analysis to identify a problem associated with their discipline, to generate managerial options and propose viable solutions </w:t>
            </w:r>
          </w:p>
        </w:tc>
      </w:tr>
      <w:tr w:rsidR="007C0E00" w:rsidRPr="00DD6FA8" w14:paraId="1849BA55" w14:textId="77777777" w:rsidTr="00194A85">
        <w:tc>
          <w:tcPr>
            <w:tcW w:w="2405" w:type="dxa"/>
          </w:tcPr>
          <w:p w14:paraId="35ACDA53" w14:textId="14319C5F" w:rsidR="007C0E00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be socially responsible in their related discipline</w:t>
            </w:r>
          </w:p>
        </w:tc>
        <w:tc>
          <w:tcPr>
            <w:tcW w:w="7557" w:type="dxa"/>
          </w:tcPr>
          <w:p w14:paraId="43406404" w14:textId="2267D194" w:rsidR="007C0E00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7C0E00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LO2.1. Students will be knowledgeable about ethics and social responsibility </w:t>
            </w:r>
          </w:p>
        </w:tc>
      </w:tr>
      <w:tr w:rsidR="00194A85" w:rsidRPr="00DD6FA8" w14:paraId="00E2EE30" w14:textId="77777777" w:rsidTr="00194A85">
        <w:tc>
          <w:tcPr>
            <w:tcW w:w="2405" w:type="dxa"/>
            <w:vMerge w:val="restart"/>
          </w:tcPr>
          <w:p w14:paraId="3EA239FE" w14:textId="258A94F0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be technology agile</w:t>
            </w:r>
          </w:p>
        </w:tc>
        <w:tc>
          <w:tcPr>
            <w:tcW w:w="7557" w:type="dxa"/>
          </w:tcPr>
          <w:p w14:paraId="70978C01" w14:textId="7AD28B98" w:rsidR="00194A85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>LO3.1. Students will demonstrate proficiency in common business software packages</w:t>
            </w:r>
          </w:p>
        </w:tc>
      </w:tr>
      <w:tr w:rsidR="00194A85" w:rsidRPr="00DD6FA8" w14:paraId="7F8F84FC" w14:textId="77777777" w:rsidTr="00194A85">
        <w:tc>
          <w:tcPr>
            <w:tcW w:w="2405" w:type="dxa"/>
            <w:vMerge/>
          </w:tcPr>
          <w:p w14:paraId="5F7E104A" w14:textId="77777777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0243D6AE" w14:textId="3A8C95FA" w:rsidR="00194A85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LO3.2. Students will be able to make decisions using appropriate IT tools </w:t>
            </w:r>
          </w:p>
        </w:tc>
      </w:tr>
      <w:tr w:rsidR="00194A85" w:rsidRPr="00DD6FA8" w14:paraId="215AEC05" w14:textId="77777777" w:rsidTr="00194A85">
        <w:tc>
          <w:tcPr>
            <w:tcW w:w="2405" w:type="dxa"/>
            <w:vMerge w:val="restart"/>
          </w:tcPr>
          <w:p w14:paraId="3FEDA518" w14:textId="49D6F473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be effective communicators</w:t>
            </w:r>
          </w:p>
        </w:tc>
        <w:tc>
          <w:tcPr>
            <w:tcW w:w="7557" w:type="dxa"/>
          </w:tcPr>
          <w:p w14:paraId="1AE369B4" w14:textId="7A272A73" w:rsidR="00194A85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>LO4.1. Students will be able to communicate reasonably in different settings according to target audience tasks and situations</w:t>
            </w:r>
          </w:p>
        </w:tc>
      </w:tr>
      <w:tr w:rsidR="00194A85" w:rsidRPr="00DD6FA8" w14:paraId="51EC1BB3" w14:textId="77777777" w:rsidTr="00194A85">
        <w:tc>
          <w:tcPr>
            <w:tcW w:w="2405" w:type="dxa"/>
            <w:vMerge/>
          </w:tcPr>
          <w:p w14:paraId="381D3630" w14:textId="77777777" w:rsidR="00194A85" w:rsidRPr="00DD6FA8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53B49605" w14:textId="5E5B0881" w:rsidR="00194A85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LO4.2. Students will be able to convey their ideas effectively through an oral presentation </w:t>
            </w:r>
          </w:p>
        </w:tc>
      </w:tr>
      <w:tr w:rsidR="00194A85" w:rsidRPr="00DD6FA8" w14:paraId="73D5DCD4" w14:textId="77777777" w:rsidTr="00194A85">
        <w:tc>
          <w:tcPr>
            <w:tcW w:w="2405" w:type="dxa"/>
            <w:vMerge/>
          </w:tcPr>
          <w:p w14:paraId="69EF92B8" w14:textId="77777777" w:rsidR="00194A85" w:rsidRPr="00DD6FA8" w:rsidRDefault="00194A85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26DC7DE1" w14:textId="46578011" w:rsidR="00194A85" w:rsidRPr="00DD6FA8" w:rsidRDefault="00DB6F63" w:rsidP="007C0E00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>LO4.3. Students will be able to convey their ideas effectively in a written paper</w:t>
            </w:r>
          </w:p>
        </w:tc>
      </w:tr>
    </w:tbl>
    <w:p w14:paraId="73E94923" w14:textId="77777777" w:rsidR="007C0E00" w:rsidRPr="00DD6FA8" w:rsidRDefault="007C0E00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D451CAA" w14:textId="41B81C7A" w:rsidR="007C0E00" w:rsidRPr="00DD6FA8" w:rsidRDefault="00194A85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D6FA8">
        <w:rPr>
          <w:rFonts w:ascii="Arial" w:hAnsi="Arial" w:cs="Arial"/>
          <w:b/>
          <w:sz w:val="18"/>
          <w:szCs w:val="18"/>
          <w:lang w:val="en-US"/>
        </w:rPr>
        <w:t xml:space="preserve">Learning objectives for the </w:t>
      </w:r>
      <w:r w:rsidRPr="00DD6FA8">
        <w:rPr>
          <w:rFonts w:ascii="Arial" w:hAnsi="Arial" w:cs="Arial"/>
          <w:b/>
          <w:sz w:val="18"/>
          <w:szCs w:val="18"/>
          <w:u w:val="single"/>
          <w:lang w:val="en-US"/>
        </w:rPr>
        <w:t>Bachelor of Social Science</w:t>
      </w:r>
    </w:p>
    <w:p w14:paraId="41D2F84C" w14:textId="77777777" w:rsidR="001B338B" w:rsidRPr="00DD6FA8" w:rsidRDefault="001B338B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proofErr w:type="spellStart"/>
      <w:r w:rsidRPr="00DD6FA8">
        <w:rPr>
          <w:rFonts w:ascii="Arial" w:hAnsi="Arial" w:cs="Arial"/>
          <w:i/>
          <w:sz w:val="16"/>
          <w:szCs w:val="18"/>
          <w:lang w:val="en-US"/>
        </w:rPr>
        <w:t>Programmes</w:t>
      </w:r>
      <w:proofErr w:type="spellEnd"/>
      <w:r w:rsidRPr="00DD6FA8">
        <w:rPr>
          <w:rFonts w:ascii="Arial" w:hAnsi="Arial" w:cs="Arial"/>
          <w:i/>
          <w:sz w:val="16"/>
          <w:szCs w:val="18"/>
          <w:lang w:val="en-US"/>
        </w:rPr>
        <w:t>:</w:t>
      </w:r>
    </w:p>
    <w:p w14:paraId="25C4EF11" w14:textId="77777777" w:rsidR="001B338B" w:rsidRPr="00DD6FA8" w:rsidRDefault="00194A85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DD6FA8">
        <w:rPr>
          <w:rFonts w:ascii="Arial" w:hAnsi="Arial" w:cs="Arial"/>
          <w:i/>
          <w:sz w:val="16"/>
          <w:szCs w:val="18"/>
          <w:lang w:val="en-US"/>
        </w:rPr>
        <w:t xml:space="preserve">Economics and Data Analytics, </w:t>
      </w:r>
    </w:p>
    <w:p w14:paraId="41045CF1" w14:textId="6745532D" w:rsidR="00194A85" w:rsidRPr="00DD6FA8" w:rsidRDefault="00194A85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DD6FA8">
        <w:rPr>
          <w:rFonts w:ascii="Arial" w:hAnsi="Arial" w:cs="Arial"/>
          <w:i/>
          <w:sz w:val="16"/>
          <w:szCs w:val="18"/>
          <w:lang w:val="en-US"/>
        </w:rPr>
        <w:t>Economics and Politics</w:t>
      </w:r>
    </w:p>
    <w:p w14:paraId="6DD0C97D" w14:textId="207E3BC6" w:rsidR="00194A85" w:rsidRPr="00DD6FA8" w:rsidRDefault="00194A85">
      <w:pPr>
        <w:pStyle w:val="metod"/>
        <w:ind w:firstLine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194A85" w:rsidRPr="00DD6FA8" w14:paraId="2A6C6B55" w14:textId="77777777" w:rsidTr="00910AA2">
        <w:tc>
          <w:tcPr>
            <w:tcW w:w="2405" w:type="dxa"/>
          </w:tcPr>
          <w:p w14:paraId="76131B52" w14:textId="77777777" w:rsidR="00194A85" w:rsidRPr="00DD6FA8" w:rsidRDefault="00194A85" w:rsidP="00910AA2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Goals</w:t>
            </w:r>
          </w:p>
        </w:tc>
        <w:tc>
          <w:tcPr>
            <w:tcW w:w="7557" w:type="dxa"/>
          </w:tcPr>
          <w:p w14:paraId="560C2175" w14:textId="77777777" w:rsidR="00194A85" w:rsidRPr="00DD6FA8" w:rsidRDefault="00194A85" w:rsidP="00910AA2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Objectives</w:t>
            </w:r>
          </w:p>
        </w:tc>
      </w:tr>
      <w:tr w:rsidR="00194A85" w:rsidRPr="00DD6FA8" w14:paraId="1A01F8C4" w14:textId="77777777" w:rsidTr="00910AA2">
        <w:tc>
          <w:tcPr>
            <w:tcW w:w="2405" w:type="dxa"/>
            <w:vMerge w:val="restart"/>
          </w:tcPr>
          <w:p w14:paraId="1C5E6FF3" w14:textId="77777777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be critical thinkers</w:t>
            </w:r>
          </w:p>
        </w:tc>
        <w:tc>
          <w:tcPr>
            <w:tcW w:w="7557" w:type="dxa"/>
          </w:tcPr>
          <w:p w14:paraId="6DF98F79" w14:textId="6013CCF5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LO1.1. Students will be able to understand core concepts and methods in the key economics disciplines </w:t>
            </w:r>
          </w:p>
        </w:tc>
      </w:tr>
      <w:tr w:rsidR="00194A85" w:rsidRPr="00DD6FA8" w14:paraId="738FF08D" w14:textId="77777777" w:rsidTr="00910AA2">
        <w:tc>
          <w:tcPr>
            <w:tcW w:w="2405" w:type="dxa"/>
            <w:vMerge/>
          </w:tcPr>
          <w:p w14:paraId="58B12894" w14:textId="77777777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1F6EAA82" w14:textId="4E778F14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LO1.2. Students will be able to identify underlying assumptions and logical consistency of causal statements </w:t>
            </w:r>
          </w:p>
        </w:tc>
      </w:tr>
      <w:tr w:rsidR="00194A85" w:rsidRPr="00DD6FA8" w14:paraId="59CCEEC9" w14:textId="77777777" w:rsidTr="00910AA2">
        <w:tc>
          <w:tcPr>
            <w:tcW w:w="2405" w:type="dxa"/>
          </w:tcPr>
          <w:p w14:paraId="740C3B51" w14:textId="390AED70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have skills to employ economic thought for the common good</w:t>
            </w:r>
          </w:p>
        </w:tc>
        <w:tc>
          <w:tcPr>
            <w:tcW w:w="7557" w:type="dxa"/>
          </w:tcPr>
          <w:p w14:paraId="144C9A6C" w14:textId="6B48AEB2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LO2.1.Students will have a keen sense of ethical criteria for practical problem-solving </w:t>
            </w:r>
          </w:p>
        </w:tc>
      </w:tr>
      <w:tr w:rsidR="00194A85" w:rsidRPr="00DD6FA8" w14:paraId="731A99B7" w14:textId="77777777" w:rsidTr="00910AA2">
        <w:tc>
          <w:tcPr>
            <w:tcW w:w="2405" w:type="dxa"/>
            <w:vMerge w:val="restart"/>
          </w:tcPr>
          <w:p w14:paraId="25F16EC9" w14:textId="77777777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be technology agile</w:t>
            </w:r>
          </w:p>
        </w:tc>
        <w:tc>
          <w:tcPr>
            <w:tcW w:w="7557" w:type="dxa"/>
          </w:tcPr>
          <w:p w14:paraId="3A33DFB9" w14:textId="12C08353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LO3.1. Students will demonstrate proficiency in common business software packages </w:t>
            </w:r>
          </w:p>
        </w:tc>
      </w:tr>
      <w:tr w:rsidR="00194A85" w:rsidRPr="00DD6FA8" w14:paraId="386DC3A4" w14:textId="77777777" w:rsidTr="00910AA2">
        <w:tc>
          <w:tcPr>
            <w:tcW w:w="2405" w:type="dxa"/>
            <w:vMerge/>
          </w:tcPr>
          <w:p w14:paraId="5E87F5B1" w14:textId="77777777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20E97D04" w14:textId="0B403086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LO3.2. Students will be able to make decisions using appropriate IT tools </w:t>
            </w:r>
          </w:p>
        </w:tc>
      </w:tr>
      <w:tr w:rsidR="00194A85" w:rsidRPr="00DD6FA8" w14:paraId="1D2B0E5B" w14:textId="77777777" w:rsidTr="00910AA2">
        <w:tc>
          <w:tcPr>
            <w:tcW w:w="2405" w:type="dxa"/>
            <w:vMerge w:val="restart"/>
          </w:tcPr>
          <w:p w14:paraId="65F74577" w14:textId="77777777" w:rsidR="00194A85" w:rsidRPr="00DD6FA8" w:rsidRDefault="00194A85" w:rsidP="00194A85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Students will be effective communicators</w:t>
            </w:r>
          </w:p>
        </w:tc>
        <w:tc>
          <w:tcPr>
            <w:tcW w:w="7557" w:type="dxa"/>
          </w:tcPr>
          <w:p w14:paraId="5A30CCBB" w14:textId="208A3435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LO4.1.Students will be able to communicate reasonably in different settings according to target audience tasks and situations </w:t>
            </w:r>
          </w:p>
        </w:tc>
      </w:tr>
      <w:tr w:rsidR="00194A85" w:rsidRPr="00DD6FA8" w14:paraId="7AD688C0" w14:textId="77777777" w:rsidTr="00910AA2">
        <w:tc>
          <w:tcPr>
            <w:tcW w:w="2405" w:type="dxa"/>
            <w:vMerge/>
          </w:tcPr>
          <w:p w14:paraId="17D28C88" w14:textId="77777777" w:rsidR="00194A85" w:rsidRPr="00DD6FA8" w:rsidRDefault="00194A85" w:rsidP="00194A85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0365FE39" w14:textId="7484908A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LO4.2.Students will be able to convey their ideas effectively through an oral presentation </w:t>
            </w:r>
          </w:p>
        </w:tc>
      </w:tr>
      <w:tr w:rsidR="00194A85" w:rsidRPr="00DD6FA8" w14:paraId="439184C2" w14:textId="77777777" w:rsidTr="00910AA2">
        <w:tc>
          <w:tcPr>
            <w:tcW w:w="2405" w:type="dxa"/>
            <w:vMerge/>
          </w:tcPr>
          <w:p w14:paraId="134928DC" w14:textId="77777777" w:rsidR="00194A85" w:rsidRPr="00DD6FA8" w:rsidRDefault="00194A85" w:rsidP="00194A85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557" w:type="dxa"/>
          </w:tcPr>
          <w:p w14:paraId="78B1442E" w14:textId="54F0B3DC" w:rsidR="00194A85" w:rsidRPr="00DD6FA8" w:rsidRDefault="00DB6F63" w:rsidP="00194A85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FA8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194A85" w:rsidRPr="00DD6FA8">
              <w:rPr>
                <w:rFonts w:ascii="Arial" w:hAnsi="Arial" w:cs="Arial"/>
                <w:sz w:val="18"/>
                <w:szCs w:val="18"/>
                <w:lang w:val="en-US"/>
              </w:rPr>
              <w:t xml:space="preserve">LO4.3. Students will be able to convey their ideas effectively in a written paper </w:t>
            </w:r>
          </w:p>
        </w:tc>
      </w:tr>
    </w:tbl>
    <w:p w14:paraId="25C7EFAD" w14:textId="77777777" w:rsidR="00194A85" w:rsidRPr="00DD6FA8" w:rsidRDefault="00194A85">
      <w:pPr>
        <w:pStyle w:val="metod"/>
        <w:ind w:firstLine="0"/>
        <w:jc w:val="both"/>
        <w:rPr>
          <w:rFonts w:ascii="Arial" w:hAnsi="Arial" w:cs="Arial"/>
          <w:sz w:val="18"/>
          <w:szCs w:val="18"/>
          <w:lang w:val="en-US"/>
        </w:rPr>
      </w:pPr>
    </w:p>
    <w:sectPr w:rsidR="00194A85" w:rsidRPr="00DD6FA8" w:rsidSect="00594FFF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165F" w14:textId="77777777" w:rsidR="002014AE" w:rsidRDefault="002014AE" w:rsidP="00062544">
      <w:pPr>
        <w:spacing w:after="0" w:line="240" w:lineRule="auto"/>
      </w:pPr>
      <w:r>
        <w:separator/>
      </w:r>
    </w:p>
  </w:endnote>
  <w:endnote w:type="continuationSeparator" w:id="0">
    <w:p w14:paraId="7E930EBE" w14:textId="77777777" w:rsidR="002014AE" w:rsidRDefault="002014AE" w:rsidP="000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43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42020" w14:textId="41023328" w:rsidR="00AD140F" w:rsidRDefault="00DB6F63" w:rsidP="00DB6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8533" w14:textId="77777777" w:rsidR="002014AE" w:rsidRDefault="002014AE" w:rsidP="00062544">
      <w:pPr>
        <w:spacing w:after="0" w:line="240" w:lineRule="auto"/>
      </w:pPr>
      <w:r>
        <w:separator/>
      </w:r>
    </w:p>
  </w:footnote>
  <w:footnote w:type="continuationSeparator" w:id="0">
    <w:p w14:paraId="5CC3308C" w14:textId="77777777" w:rsidR="002014AE" w:rsidRDefault="002014AE" w:rsidP="000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D5F5" w14:textId="77777777" w:rsidR="00AD140F" w:rsidRDefault="00AD140F" w:rsidP="00062544">
    <w:pPr>
      <w:pStyle w:val="Header"/>
      <w:tabs>
        <w:tab w:val="clear" w:pos="4680"/>
        <w:tab w:val="clear" w:pos="9360"/>
        <w:tab w:val="left" w:pos="904"/>
      </w:tabs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60E98575" wp14:editId="79B1BBA8">
          <wp:extent cx="201930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21652"/>
    <w:multiLevelType w:val="hybridMultilevel"/>
    <w:tmpl w:val="D7F2F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757E7"/>
    <w:multiLevelType w:val="hybridMultilevel"/>
    <w:tmpl w:val="EF36905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C1C82"/>
    <w:multiLevelType w:val="hybridMultilevel"/>
    <w:tmpl w:val="B1F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71C0"/>
    <w:multiLevelType w:val="hybridMultilevel"/>
    <w:tmpl w:val="092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56BA"/>
    <w:multiLevelType w:val="hybridMultilevel"/>
    <w:tmpl w:val="DCC622B8"/>
    <w:lvl w:ilvl="0" w:tplc="BF9EB4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92E"/>
    <w:multiLevelType w:val="hybridMultilevel"/>
    <w:tmpl w:val="49640558"/>
    <w:lvl w:ilvl="0" w:tplc="7FF2D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0385"/>
    <w:multiLevelType w:val="hybridMultilevel"/>
    <w:tmpl w:val="8E1C5480"/>
    <w:lvl w:ilvl="0" w:tplc="DEE221C4">
      <w:start w:val="1"/>
      <w:numFmt w:val="bullet"/>
      <w:lvlText w:val="|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3407"/>
    <w:multiLevelType w:val="hybridMultilevel"/>
    <w:tmpl w:val="4C5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0BB1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31CC9"/>
    <w:multiLevelType w:val="hybridMultilevel"/>
    <w:tmpl w:val="E26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5EFC"/>
    <w:multiLevelType w:val="hybridMultilevel"/>
    <w:tmpl w:val="388CE59E"/>
    <w:lvl w:ilvl="0" w:tplc="8E4A3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5189"/>
    <w:multiLevelType w:val="hybridMultilevel"/>
    <w:tmpl w:val="4FB42E80"/>
    <w:lvl w:ilvl="0" w:tplc="B62682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94DD7"/>
    <w:multiLevelType w:val="hybridMultilevel"/>
    <w:tmpl w:val="DF3A6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F6726"/>
    <w:multiLevelType w:val="hybridMultilevel"/>
    <w:tmpl w:val="DDB40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54321"/>
    <w:multiLevelType w:val="hybridMultilevel"/>
    <w:tmpl w:val="4BC08E54"/>
    <w:lvl w:ilvl="0" w:tplc="4680EFD4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3C71"/>
    <w:multiLevelType w:val="hybridMultilevel"/>
    <w:tmpl w:val="0ADE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371EA"/>
    <w:multiLevelType w:val="hybridMultilevel"/>
    <w:tmpl w:val="5F2C8FAA"/>
    <w:lvl w:ilvl="0" w:tplc="CDD89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22D4"/>
    <w:multiLevelType w:val="hybridMultilevel"/>
    <w:tmpl w:val="BE08C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541B3"/>
    <w:multiLevelType w:val="hybridMultilevel"/>
    <w:tmpl w:val="78F85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B7FAF"/>
    <w:multiLevelType w:val="hybridMultilevel"/>
    <w:tmpl w:val="4DF2D42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E4F3CE0"/>
    <w:multiLevelType w:val="hybridMultilevel"/>
    <w:tmpl w:val="3244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47B2E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7F2E62"/>
    <w:multiLevelType w:val="hybridMultilevel"/>
    <w:tmpl w:val="C0727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82FF1"/>
    <w:multiLevelType w:val="hybridMultilevel"/>
    <w:tmpl w:val="1EECB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01513"/>
    <w:multiLevelType w:val="hybridMultilevel"/>
    <w:tmpl w:val="BD18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0302F"/>
    <w:multiLevelType w:val="hybridMultilevel"/>
    <w:tmpl w:val="4A2CE8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5796"/>
    <w:multiLevelType w:val="hybridMultilevel"/>
    <w:tmpl w:val="AD0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E30EA"/>
    <w:multiLevelType w:val="hybridMultilevel"/>
    <w:tmpl w:val="3EAE17E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793E03B7"/>
    <w:multiLevelType w:val="hybridMultilevel"/>
    <w:tmpl w:val="68923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4654C"/>
    <w:multiLevelType w:val="hybridMultilevel"/>
    <w:tmpl w:val="D90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85399"/>
    <w:multiLevelType w:val="hybridMultilevel"/>
    <w:tmpl w:val="98C2B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26"/>
  </w:num>
  <w:num w:numId="6">
    <w:abstractNumId w:val="6"/>
  </w:num>
  <w:num w:numId="7">
    <w:abstractNumId w:val="11"/>
  </w:num>
  <w:num w:numId="8">
    <w:abstractNumId w:val="31"/>
  </w:num>
  <w:num w:numId="9">
    <w:abstractNumId w:val="23"/>
  </w:num>
  <w:num w:numId="10">
    <w:abstractNumId w:val="9"/>
  </w:num>
  <w:num w:numId="11">
    <w:abstractNumId w:val="22"/>
  </w:num>
  <w:num w:numId="12">
    <w:abstractNumId w:val="5"/>
  </w:num>
  <w:num w:numId="13">
    <w:abstractNumId w:val="30"/>
  </w:num>
  <w:num w:numId="14">
    <w:abstractNumId w:val="10"/>
  </w:num>
  <w:num w:numId="15">
    <w:abstractNumId w:val="8"/>
  </w:num>
  <w:num w:numId="16">
    <w:abstractNumId w:val="4"/>
  </w:num>
  <w:num w:numId="17">
    <w:abstractNumId w:val="24"/>
  </w:num>
  <w:num w:numId="18">
    <w:abstractNumId w:val="29"/>
  </w:num>
  <w:num w:numId="19">
    <w:abstractNumId w:val="21"/>
  </w:num>
  <w:num w:numId="20">
    <w:abstractNumId w:val="18"/>
  </w:num>
  <w:num w:numId="21">
    <w:abstractNumId w:val="27"/>
  </w:num>
  <w:num w:numId="22">
    <w:abstractNumId w:val="3"/>
  </w:num>
  <w:num w:numId="23">
    <w:abstractNumId w:val="25"/>
  </w:num>
  <w:num w:numId="24">
    <w:abstractNumId w:val="19"/>
  </w:num>
  <w:num w:numId="25">
    <w:abstractNumId w:val="28"/>
  </w:num>
  <w:num w:numId="26">
    <w:abstractNumId w:val="14"/>
  </w:num>
  <w:num w:numId="27">
    <w:abstractNumId w:val="16"/>
  </w:num>
  <w:num w:numId="28">
    <w:abstractNumId w:val="20"/>
  </w:num>
  <w:num w:numId="29">
    <w:abstractNumId w:val="1"/>
  </w:num>
  <w:num w:numId="30">
    <w:abstractNumId w:val="17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NzMxMDO2NDW0sDBW0lEKTi0uzszPAykwrgUAKpfqsywAAAA="/>
  </w:docVars>
  <w:rsids>
    <w:rsidRoot w:val="00202EE2"/>
    <w:rsid w:val="00001603"/>
    <w:rsid w:val="00002A52"/>
    <w:rsid w:val="00015703"/>
    <w:rsid w:val="0002140B"/>
    <w:rsid w:val="000259E9"/>
    <w:rsid w:val="00027DDB"/>
    <w:rsid w:val="000313CA"/>
    <w:rsid w:val="00034BEE"/>
    <w:rsid w:val="0003578B"/>
    <w:rsid w:val="00040BB2"/>
    <w:rsid w:val="000423F7"/>
    <w:rsid w:val="0004263D"/>
    <w:rsid w:val="00044A66"/>
    <w:rsid w:val="00051599"/>
    <w:rsid w:val="000524E0"/>
    <w:rsid w:val="0005472B"/>
    <w:rsid w:val="00061438"/>
    <w:rsid w:val="00061501"/>
    <w:rsid w:val="00062544"/>
    <w:rsid w:val="00063E81"/>
    <w:rsid w:val="0006531F"/>
    <w:rsid w:val="00070B0C"/>
    <w:rsid w:val="00077197"/>
    <w:rsid w:val="0008070F"/>
    <w:rsid w:val="00080F5C"/>
    <w:rsid w:val="00082023"/>
    <w:rsid w:val="000849B7"/>
    <w:rsid w:val="000933C4"/>
    <w:rsid w:val="000955BC"/>
    <w:rsid w:val="00097ABC"/>
    <w:rsid w:val="00097D80"/>
    <w:rsid w:val="000B02B5"/>
    <w:rsid w:val="000C3416"/>
    <w:rsid w:val="000C5BDB"/>
    <w:rsid w:val="000C7E84"/>
    <w:rsid w:val="000D22DB"/>
    <w:rsid w:val="000D337F"/>
    <w:rsid w:val="000D502D"/>
    <w:rsid w:val="000E1B01"/>
    <w:rsid w:val="000E5959"/>
    <w:rsid w:val="000F0359"/>
    <w:rsid w:val="000F1FFC"/>
    <w:rsid w:val="00105026"/>
    <w:rsid w:val="00113EAF"/>
    <w:rsid w:val="00114104"/>
    <w:rsid w:val="001229B0"/>
    <w:rsid w:val="00125272"/>
    <w:rsid w:val="00127104"/>
    <w:rsid w:val="00132F58"/>
    <w:rsid w:val="001368EA"/>
    <w:rsid w:val="001427D2"/>
    <w:rsid w:val="00147366"/>
    <w:rsid w:val="001474D8"/>
    <w:rsid w:val="0015562F"/>
    <w:rsid w:val="00161E0C"/>
    <w:rsid w:val="00162656"/>
    <w:rsid w:val="001667AE"/>
    <w:rsid w:val="00170872"/>
    <w:rsid w:val="00170986"/>
    <w:rsid w:val="00175CAB"/>
    <w:rsid w:val="00176B37"/>
    <w:rsid w:val="001864FC"/>
    <w:rsid w:val="001902BE"/>
    <w:rsid w:val="00190340"/>
    <w:rsid w:val="001936C6"/>
    <w:rsid w:val="00194A85"/>
    <w:rsid w:val="00197699"/>
    <w:rsid w:val="001A2A96"/>
    <w:rsid w:val="001A3D16"/>
    <w:rsid w:val="001A6ADB"/>
    <w:rsid w:val="001B2C03"/>
    <w:rsid w:val="001B338B"/>
    <w:rsid w:val="001B4406"/>
    <w:rsid w:val="001C12CB"/>
    <w:rsid w:val="001C17B6"/>
    <w:rsid w:val="001C1AC3"/>
    <w:rsid w:val="001C5D5C"/>
    <w:rsid w:val="001D0530"/>
    <w:rsid w:val="001D0FAD"/>
    <w:rsid w:val="001D34C2"/>
    <w:rsid w:val="001D50D3"/>
    <w:rsid w:val="001D6F36"/>
    <w:rsid w:val="001E149D"/>
    <w:rsid w:val="001F0A3E"/>
    <w:rsid w:val="001F1A8D"/>
    <w:rsid w:val="002014AE"/>
    <w:rsid w:val="00202EE2"/>
    <w:rsid w:val="002105E2"/>
    <w:rsid w:val="0021360C"/>
    <w:rsid w:val="0021528D"/>
    <w:rsid w:val="00215430"/>
    <w:rsid w:val="00223D62"/>
    <w:rsid w:val="00223E73"/>
    <w:rsid w:val="00224CCE"/>
    <w:rsid w:val="00227AE1"/>
    <w:rsid w:val="00233368"/>
    <w:rsid w:val="002374E4"/>
    <w:rsid w:val="00237691"/>
    <w:rsid w:val="00243DEB"/>
    <w:rsid w:val="00246036"/>
    <w:rsid w:val="00251909"/>
    <w:rsid w:val="00256E71"/>
    <w:rsid w:val="0026094B"/>
    <w:rsid w:val="00261FD0"/>
    <w:rsid w:val="002645D8"/>
    <w:rsid w:val="00266691"/>
    <w:rsid w:val="002737C6"/>
    <w:rsid w:val="00274920"/>
    <w:rsid w:val="002756A5"/>
    <w:rsid w:val="00280BC2"/>
    <w:rsid w:val="00287DF4"/>
    <w:rsid w:val="00292B9B"/>
    <w:rsid w:val="002A0EC8"/>
    <w:rsid w:val="002A19F1"/>
    <w:rsid w:val="002A1FD6"/>
    <w:rsid w:val="002A43E6"/>
    <w:rsid w:val="002B1BF4"/>
    <w:rsid w:val="002B741D"/>
    <w:rsid w:val="002C0670"/>
    <w:rsid w:val="002C093B"/>
    <w:rsid w:val="002C0C8F"/>
    <w:rsid w:val="002C2C25"/>
    <w:rsid w:val="002C5839"/>
    <w:rsid w:val="002C657F"/>
    <w:rsid w:val="002C6981"/>
    <w:rsid w:val="002D2845"/>
    <w:rsid w:val="002D6639"/>
    <w:rsid w:val="002D6C24"/>
    <w:rsid w:val="002F0E20"/>
    <w:rsid w:val="002F2873"/>
    <w:rsid w:val="002F70A7"/>
    <w:rsid w:val="002F73AB"/>
    <w:rsid w:val="0030105B"/>
    <w:rsid w:val="00301607"/>
    <w:rsid w:val="00303181"/>
    <w:rsid w:val="00303F06"/>
    <w:rsid w:val="00312539"/>
    <w:rsid w:val="00312541"/>
    <w:rsid w:val="003164F1"/>
    <w:rsid w:val="003250FD"/>
    <w:rsid w:val="00331056"/>
    <w:rsid w:val="00335D17"/>
    <w:rsid w:val="00340853"/>
    <w:rsid w:val="00345D95"/>
    <w:rsid w:val="00346C65"/>
    <w:rsid w:val="003534D2"/>
    <w:rsid w:val="00354FEF"/>
    <w:rsid w:val="00357246"/>
    <w:rsid w:val="00357461"/>
    <w:rsid w:val="00363C77"/>
    <w:rsid w:val="003656CE"/>
    <w:rsid w:val="00365E77"/>
    <w:rsid w:val="003908B9"/>
    <w:rsid w:val="00397400"/>
    <w:rsid w:val="003A3473"/>
    <w:rsid w:val="003A372D"/>
    <w:rsid w:val="003B3179"/>
    <w:rsid w:val="003B7587"/>
    <w:rsid w:val="003C34A1"/>
    <w:rsid w:val="003C3A52"/>
    <w:rsid w:val="003C763F"/>
    <w:rsid w:val="003D0A1F"/>
    <w:rsid w:val="003E01C0"/>
    <w:rsid w:val="003F41A5"/>
    <w:rsid w:val="00401708"/>
    <w:rsid w:val="0040672B"/>
    <w:rsid w:val="00415172"/>
    <w:rsid w:val="00415BD8"/>
    <w:rsid w:val="00416C0F"/>
    <w:rsid w:val="00422481"/>
    <w:rsid w:val="00424AAD"/>
    <w:rsid w:val="00427E92"/>
    <w:rsid w:val="004357B6"/>
    <w:rsid w:val="004373F7"/>
    <w:rsid w:val="00437683"/>
    <w:rsid w:val="0044346B"/>
    <w:rsid w:val="0044442F"/>
    <w:rsid w:val="004452F0"/>
    <w:rsid w:val="004463F3"/>
    <w:rsid w:val="004467F8"/>
    <w:rsid w:val="004502B9"/>
    <w:rsid w:val="00455D56"/>
    <w:rsid w:val="004568D9"/>
    <w:rsid w:val="004604E6"/>
    <w:rsid w:val="00461D51"/>
    <w:rsid w:val="004722D3"/>
    <w:rsid w:val="004726EF"/>
    <w:rsid w:val="00482AB2"/>
    <w:rsid w:val="00485CC8"/>
    <w:rsid w:val="004869C7"/>
    <w:rsid w:val="0049108B"/>
    <w:rsid w:val="004941C3"/>
    <w:rsid w:val="004A022A"/>
    <w:rsid w:val="004A239B"/>
    <w:rsid w:val="004A387B"/>
    <w:rsid w:val="004A3C83"/>
    <w:rsid w:val="004A60B8"/>
    <w:rsid w:val="004A613C"/>
    <w:rsid w:val="004B14EF"/>
    <w:rsid w:val="004B1653"/>
    <w:rsid w:val="004B4917"/>
    <w:rsid w:val="004C5165"/>
    <w:rsid w:val="004D036B"/>
    <w:rsid w:val="004D197C"/>
    <w:rsid w:val="004D2E84"/>
    <w:rsid w:val="004D3790"/>
    <w:rsid w:val="004D40D1"/>
    <w:rsid w:val="004D6773"/>
    <w:rsid w:val="004D67A6"/>
    <w:rsid w:val="004E466C"/>
    <w:rsid w:val="004F0653"/>
    <w:rsid w:val="004F0F16"/>
    <w:rsid w:val="004F1AA9"/>
    <w:rsid w:val="004F2CD9"/>
    <w:rsid w:val="00513468"/>
    <w:rsid w:val="005137BB"/>
    <w:rsid w:val="00517CD6"/>
    <w:rsid w:val="00521804"/>
    <w:rsid w:val="0052322A"/>
    <w:rsid w:val="00530436"/>
    <w:rsid w:val="0053518A"/>
    <w:rsid w:val="00536A0D"/>
    <w:rsid w:val="005504A0"/>
    <w:rsid w:val="00555525"/>
    <w:rsid w:val="0056716D"/>
    <w:rsid w:val="005757B1"/>
    <w:rsid w:val="00583B26"/>
    <w:rsid w:val="00583E05"/>
    <w:rsid w:val="00587757"/>
    <w:rsid w:val="00593C8E"/>
    <w:rsid w:val="00593C90"/>
    <w:rsid w:val="00594388"/>
    <w:rsid w:val="00594FFF"/>
    <w:rsid w:val="00597E8C"/>
    <w:rsid w:val="005C1096"/>
    <w:rsid w:val="005C31A5"/>
    <w:rsid w:val="005D25F3"/>
    <w:rsid w:val="005D6BFC"/>
    <w:rsid w:val="005E0D68"/>
    <w:rsid w:val="005E725F"/>
    <w:rsid w:val="005F3244"/>
    <w:rsid w:val="005F5CBD"/>
    <w:rsid w:val="006074AE"/>
    <w:rsid w:val="00621339"/>
    <w:rsid w:val="0062307C"/>
    <w:rsid w:val="00624144"/>
    <w:rsid w:val="00624CDC"/>
    <w:rsid w:val="0063355B"/>
    <w:rsid w:val="00640E6B"/>
    <w:rsid w:val="00644DA7"/>
    <w:rsid w:val="00651500"/>
    <w:rsid w:val="006521BF"/>
    <w:rsid w:val="006569C9"/>
    <w:rsid w:val="0066525F"/>
    <w:rsid w:val="00671961"/>
    <w:rsid w:val="006753AD"/>
    <w:rsid w:val="00680AE5"/>
    <w:rsid w:val="00680BAA"/>
    <w:rsid w:val="006852A1"/>
    <w:rsid w:val="006856CD"/>
    <w:rsid w:val="006928A9"/>
    <w:rsid w:val="006A0B7A"/>
    <w:rsid w:val="006A0CD9"/>
    <w:rsid w:val="006A29B8"/>
    <w:rsid w:val="006A3548"/>
    <w:rsid w:val="006A6032"/>
    <w:rsid w:val="006A6048"/>
    <w:rsid w:val="006B2A47"/>
    <w:rsid w:val="006B5D72"/>
    <w:rsid w:val="006C09C0"/>
    <w:rsid w:val="006C0FEF"/>
    <w:rsid w:val="006C27CA"/>
    <w:rsid w:val="006C523F"/>
    <w:rsid w:val="006D1AA7"/>
    <w:rsid w:val="006D36EF"/>
    <w:rsid w:val="006D5405"/>
    <w:rsid w:val="006E5189"/>
    <w:rsid w:val="006F35C4"/>
    <w:rsid w:val="007007C1"/>
    <w:rsid w:val="00701978"/>
    <w:rsid w:val="00712FD6"/>
    <w:rsid w:val="00713A6C"/>
    <w:rsid w:val="007176C7"/>
    <w:rsid w:val="007209BF"/>
    <w:rsid w:val="00720D57"/>
    <w:rsid w:val="00722750"/>
    <w:rsid w:val="00726DFD"/>
    <w:rsid w:val="0073264A"/>
    <w:rsid w:val="00735691"/>
    <w:rsid w:val="0073580A"/>
    <w:rsid w:val="00735D0F"/>
    <w:rsid w:val="0074062D"/>
    <w:rsid w:val="007431FB"/>
    <w:rsid w:val="007509B5"/>
    <w:rsid w:val="00753747"/>
    <w:rsid w:val="00762531"/>
    <w:rsid w:val="0076271F"/>
    <w:rsid w:val="0076339C"/>
    <w:rsid w:val="00765925"/>
    <w:rsid w:val="00766E48"/>
    <w:rsid w:val="007752DD"/>
    <w:rsid w:val="007873C4"/>
    <w:rsid w:val="00792997"/>
    <w:rsid w:val="007A27FE"/>
    <w:rsid w:val="007A544B"/>
    <w:rsid w:val="007B07E1"/>
    <w:rsid w:val="007B5C10"/>
    <w:rsid w:val="007B6905"/>
    <w:rsid w:val="007C0E00"/>
    <w:rsid w:val="007C1B15"/>
    <w:rsid w:val="007C6666"/>
    <w:rsid w:val="007E00C7"/>
    <w:rsid w:val="007E1120"/>
    <w:rsid w:val="007E3661"/>
    <w:rsid w:val="007E6B56"/>
    <w:rsid w:val="007F3F99"/>
    <w:rsid w:val="007F510F"/>
    <w:rsid w:val="007F58B1"/>
    <w:rsid w:val="007F6C97"/>
    <w:rsid w:val="00802D11"/>
    <w:rsid w:val="00802DF5"/>
    <w:rsid w:val="00802F16"/>
    <w:rsid w:val="0080657B"/>
    <w:rsid w:val="008114B2"/>
    <w:rsid w:val="00826102"/>
    <w:rsid w:val="00832211"/>
    <w:rsid w:val="00836B53"/>
    <w:rsid w:val="008435C0"/>
    <w:rsid w:val="00845596"/>
    <w:rsid w:val="00845C57"/>
    <w:rsid w:val="00847831"/>
    <w:rsid w:val="00854245"/>
    <w:rsid w:val="008630DD"/>
    <w:rsid w:val="008645FC"/>
    <w:rsid w:val="00876691"/>
    <w:rsid w:val="008803D2"/>
    <w:rsid w:val="0088563E"/>
    <w:rsid w:val="00890B62"/>
    <w:rsid w:val="00896F1F"/>
    <w:rsid w:val="008A211E"/>
    <w:rsid w:val="008A4107"/>
    <w:rsid w:val="008B797C"/>
    <w:rsid w:val="008B7D8C"/>
    <w:rsid w:val="008C20EF"/>
    <w:rsid w:val="008E2353"/>
    <w:rsid w:val="008F3077"/>
    <w:rsid w:val="008F37B8"/>
    <w:rsid w:val="008F3A76"/>
    <w:rsid w:val="008F3C11"/>
    <w:rsid w:val="00901197"/>
    <w:rsid w:val="009055E0"/>
    <w:rsid w:val="00912444"/>
    <w:rsid w:val="00913CE0"/>
    <w:rsid w:val="0091660D"/>
    <w:rsid w:val="009310E3"/>
    <w:rsid w:val="009337A8"/>
    <w:rsid w:val="00935E94"/>
    <w:rsid w:val="00941B52"/>
    <w:rsid w:val="00943EFF"/>
    <w:rsid w:val="00952C1B"/>
    <w:rsid w:val="00957ACB"/>
    <w:rsid w:val="00973424"/>
    <w:rsid w:val="00973594"/>
    <w:rsid w:val="009775FB"/>
    <w:rsid w:val="00983094"/>
    <w:rsid w:val="00983810"/>
    <w:rsid w:val="00987B06"/>
    <w:rsid w:val="009954C0"/>
    <w:rsid w:val="009A3345"/>
    <w:rsid w:val="009A6368"/>
    <w:rsid w:val="009B0742"/>
    <w:rsid w:val="009B1C57"/>
    <w:rsid w:val="009B29A4"/>
    <w:rsid w:val="009B62F4"/>
    <w:rsid w:val="009C1B45"/>
    <w:rsid w:val="009C2C5B"/>
    <w:rsid w:val="009C2CF0"/>
    <w:rsid w:val="009C62EC"/>
    <w:rsid w:val="009C7233"/>
    <w:rsid w:val="009C7B26"/>
    <w:rsid w:val="009D3C95"/>
    <w:rsid w:val="009D4C19"/>
    <w:rsid w:val="009F2806"/>
    <w:rsid w:val="00A01D7E"/>
    <w:rsid w:val="00A06D17"/>
    <w:rsid w:val="00A07C2E"/>
    <w:rsid w:val="00A32A29"/>
    <w:rsid w:val="00A3524A"/>
    <w:rsid w:val="00A40AD0"/>
    <w:rsid w:val="00A41EFE"/>
    <w:rsid w:val="00A51E3D"/>
    <w:rsid w:val="00A53882"/>
    <w:rsid w:val="00A5390A"/>
    <w:rsid w:val="00A708F4"/>
    <w:rsid w:val="00A71E7C"/>
    <w:rsid w:val="00A72D78"/>
    <w:rsid w:val="00A75DC4"/>
    <w:rsid w:val="00A87338"/>
    <w:rsid w:val="00A87E5C"/>
    <w:rsid w:val="00A9119A"/>
    <w:rsid w:val="00A94A1A"/>
    <w:rsid w:val="00A94B1E"/>
    <w:rsid w:val="00A9630E"/>
    <w:rsid w:val="00AB3C96"/>
    <w:rsid w:val="00AC30F2"/>
    <w:rsid w:val="00AC6F1F"/>
    <w:rsid w:val="00AC7167"/>
    <w:rsid w:val="00AC797F"/>
    <w:rsid w:val="00AD140F"/>
    <w:rsid w:val="00AD3EC7"/>
    <w:rsid w:val="00AD4034"/>
    <w:rsid w:val="00AE042E"/>
    <w:rsid w:val="00AE7148"/>
    <w:rsid w:val="00AF03A1"/>
    <w:rsid w:val="00AF0421"/>
    <w:rsid w:val="00AF0F50"/>
    <w:rsid w:val="00AF1BE3"/>
    <w:rsid w:val="00AF584B"/>
    <w:rsid w:val="00AF76C7"/>
    <w:rsid w:val="00B0328F"/>
    <w:rsid w:val="00B10D32"/>
    <w:rsid w:val="00B16ED5"/>
    <w:rsid w:val="00B16F90"/>
    <w:rsid w:val="00B20604"/>
    <w:rsid w:val="00B208D6"/>
    <w:rsid w:val="00B22A95"/>
    <w:rsid w:val="00B249AB"/>
    <w:rsid w:val="00B259CF"/>
    <w:rsid w:val="00B42AFA"/>
    <w:rsid w:val="00B4316F"/>
    <w:rsid w:val="00B511FE"/>
    <w:rsid w:val="00B52A48"/>
    <w:rsid w:val="00B52DD3"/>
    <w:rsid w:val="00B654FF"/>
    <w:rsid w:val="00B729A1"/>
    <w:rsid w:val="00B74E21"/>
    <w:rsid w:val="00B77EDD"/>
    <w:rsid w:val="00B801FF"/>
    <w:rsid w:val="00B86579"/>
    <w:rsid w:val="00B94724"/>
    <w:rsid w:val="00B94DF0"/>
    <w:rsid w:val="00BA5794"/>
    <w:rsid w:val="00BA6616"/>
    <w:rsid w:val="00BA690B"/>
    <w:rsid w:val="00BB3566"/>
    <w:rsid w:val="00BC4CC6"/>
    <w:rsid w:val="00BD02A0"/>
    <w:rsid w:val="00BD15E5"/>
    <w:rsid w:val="00BD5D85"/>
    <w:rsid w:val="00BE29D0"/>
    <w:rsid w:val="00BF1151"/>
    <w:rsid w:val="00BF4BCC"/>
    <w:rsid w:val="00BF5402"/>
    <w:rsid w:val="00C01933"/>
    <w:rsid w:val="00C03C5C"/>
    <w:rsid w:val="00C03D3B"/>
    <w:rsid w:val="00C12E7E"/>
    <w:rsid w:val="00C13575"/>
    <w:rsid w:val="00C232C9"/>
    <w:rsid w:val="00C24C8D"/>
    <w:rsid w:val="00C27195"/>
    <w:rsid w:val="00C30888"/>
    <w:rsid w:val="00C30F31"/>
    <w:rsid w:val="00C31944"/>
    <w:rsid w:val="00C334CC"/>
    <w:rsid w:val="00C33883"/>
    <w:rsid w:val="00C4245E"/>
    <w:rsid w:val="00C42C1A"/>
    <w:rsid w:val="00C513DB"/>
    <w:rsid w:val="00C51BFC"/>
    <w:rsid w:val="00C5506F"/>
    <w:rsid w:val="00C61D00"/>
    <w:rsid w:val="00C64B98"/>
    <w:rsid w:val="00C663E9"/>
    <w:rsid w:val="00C74353"/>
    <w:rsid w:val="00C74D4C"/>
    <w:rsid w:val="00C74EF0"/>
    <w:rsid w:val="00C750D1"/>
    <w:rsid w:val="00C76EED"/>
    <w:rsid w:val="00C80EAA"/>
    <w:rsid w:val="00C815D6"/>
    <w:rsid w:val="00C82DE2"/>
    <w:rsid w:val="00C8711D"/>
    <w:rsid w:val="00C91775"/>
    <w:rsid w:val="00C91F77"/>
    <w:rsid w:val="00CA0015"/>
    <w:rsid w:val="00CA7982"/>
    <w:rsid w:val="00CB4A43"/>
    <w:rsid w:val="00CB5E3F"/>
    <w:rsid w:val="00CC0C6D"/>
    <w:rsid w:val="00CC2B41"/>
    <w:rsid w:val="00CD7D72"/>
    <w:rsid w:val="00CE5116"/>
    <w:rsid w:val="00CE70EE"/>
    <w:rsid w:val="00CF00E3"/>
    <w:rsid w:val="00CF132A"/>
    <w:rsid w:val="00CF54A1"/>
    <w:rsid w:val="00D0227B"/>
    <w:rsid w:val="00D02F20"/>
    <w:rsid w:val="00D04775"/>
    <w:rsid w:val="00D06A12"/>
    <w:rsid w:val="00D07F38"/>
    <w:rsid w:val="00D112C5"/>
    <w:rsid w:val="00D258D1"/>
    <w:rsid w:val="00D3034E"/>
    <w:rsid w:val="00D3341D"/>
    <w:rsid w:val="00D359C7"/>
    <w:rsid w:val="00D401AB"/>
    <w:rsid w:val="00D459D1"/>
    <w:rsid w:val="00D536FE"/>
    <w:rsid w:val="00D53989"/>
    <w:rsid w:val="00D5414D"/>
    <w:rsid w:val="00D55FC4"/>
    <w:rsid w:val="00D64AA7"/>
    <w:rsid w:val="00D64FDD"/>
    <w:rsid w:val="00D700DA"/>
    <w:rsid w:val="00D75A1C"/>
    <w:rsid w:val="00D76238"/>
    <w:rsid w:val="00D76491"/>
    <w:rsid w:val="00D82750"/>
    <w:rsid w:val="00D8515F"/>
    <w:rsid w:val="00D935AA"/>
    <w:rsid w:val="00D939BF"/>
    <w:rsid w:val="00D94141"/>
    <w:rsid w:val="00DA47C8"/>
    <w:rsid w:val="00DA66F4"/>
    <w:rsid w:val="00DA6B97"/>
    <w:rsid w:val="00DB476F"/>
    <w:rsid w:val="00DB6F63"/>
    <w:rsid w:val="00DC2C3B"/>
    <w:rsid w:val="00DC355A"/>
    <w:rsid w:val="00DD59B5"/>
    <w:rsid w:val="00DD6FA8"/>
    <w:rsid w:val="00DE4378"/>
    <w:rsid w:val="00DE4F0B"/>
    <w:rsid w:val="00DE4F30"/>
    <w:rsid w:val="00DF61FD"/>
    <w:rsid w:val="00E035C3"/>
    <w:rsid w:val="00E03B9C"/>
    <w:rsid w:val="00E058F5"/>
    <w:rsid w:val="00E4247C"/>
    <w:rsid w:val="00E43407"/>
    <w:rsid w:val="00E45373"/>
    <w:rsid w:val="00E4758A"/>
    <w:rsid w:val="00E50F58"/>
    <w:rsid w:val="00E6024F"/>
    <w:rsid w:val="00E652A0"/>
    <w:rsid w:val="00E65E14"/>
    <w:rsid w:val="00E76AD3"/>
    <w:rsid w:val="00E7744E"/>
    <w:rsid w:val="00E8496F"/>
    <w:rsid w:val="00E91D14"/>
    <w:rsid w:val="00E9483C"/>
    <w:rsid w:val="00E96BB5"/>
    <w:rsid w:val="00EA5165"/>
    <w:rsid w:val="00EA52A2"/>
    <w:rsid w:val="00EA6F50"/>
    <w:rsid w:val="00EB594B"/>
    <w:rsid w:val="00EB6890"/>
    <w:rsid w:val="00EC7C1C"/>
    <w:rsid w:val="00ED2611"/>
    <w:rsid w:val="00ED607E"/>
    <w:rsid w:val="00ED60A6"/>
    <w:rsid w:val="00ED7D23"/>
    <w:rsid w:val="00ED7D65"/>
    <w:rsid w:val="00EE061F"/>
    <w:rsid w:val="00EE5AEB"/>
    <w:rsid w:val="00EE6D7E"/>
    <w:rsid w:val="00EE7238"/>
    <w:rsid w:val="00EF4220"/>
    <w:rsid w:val="00F0457D"/>
    <w:rsid w:val="00F105F8"/>
    <w:rsid w:val="00F2170E"/>
    <w:rsid w:val="00F22134"/>
    <w:rsid w:val="00F23989"/>
    <w:rsid w:val="00F258AE"/>
    <w:rsid w:val="00F301E8"/>
    <w:rsid w:val="00F320BB"/>
    <w:rsid w:val="00F348A1"/>
    <w:rsid w:val="00F35544"/>
    <w:rsid w:val="00F35AC4"/>
    <w:rsid w:val="00F418AA"/>
    <w:rsid w:val="00F501DE"/>
    <w:rsid w:val="00F5559D"/>
    <w:rsid w:val="00F57FE5"/>
    <w:rsid w:val="00F65CDB"/>
    <w:rsid w:val="00F754A8"/>
    <w:rsid w:val="00F7732F"/>
    <w:rsid w:val="00F83EE0"/>
    <w:rsid w:val="00F864CF"/>
    <w:rsid w:val="00F92237"/>
    <w:rsid w:val="00F92913"/>
    <w:rsid w:val="00FA0BE2"/>
    <w:rsid w:val="00FA150E"/>
    <w:rsid w:val="00FA5AD5"/>
    <w:rsid w:val="00FB28CD"/>
    <w:rsid w:val="00FB48EA"/>
    <w:rsid w:val="00FB6D00"/>
    <w:rsid w:val="00FB7964"/>
    <w:rsid w:val="00FC3F2D"/>
    <w:rsid w:val="00FC786A"/>
    <w:rsid w:val="00FD383C"/>
    <w:rsid w:val="00FE7E0C"/>
    <w:rsid w:val="00FF24B5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F23EE7"/>
  <w15:docId w15:val="{6754CC23-E33F-4C9C-8E61-123B82D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8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5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7A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31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EE2"/>
    <w:pPr>
      <w:ind w:left="720"/>
      <w:contextualSpacing/>
    </w:pPr>
  </w:style>
  <w:style w:type="table" w:styleId="TableGrid">
    <w:name w:val="Table Grid"/>
    <w:basedOn w:val="TableNormal"/>
    <w:uiPriority w:val="59"/>
    <w:rsid w:val="00202EE2"/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2EE2"/>
    <w:rPr>
      <w:color w:val="5F5F5F"/>
      <w:u w:val="single"/>
    </w:rPr>
  </w:style>
  <w:style w:type="table" w:styleId="LightShading-Accent2">
    <w:name w:val="Light Shading Accent 2"/>
    <w:basedOn w:val="TableNormal"/>
    <w:uiPriority w:val="60"/>
    <w:rsid w:val="00202EE2"/>
    <w:rPr>
      <w:rFonts w:eastAsia="Times New Roman"/>
      <w:color w:val="868686"/>
      <w:lang w:val="en-GB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322A"/>
    <w:pPr>
      <w:pBdr>
        <w:bottom w:val="single" w:sz="8" w:space="4" w:color="DDDDDD"/>
      </w:pBdr>
      <w:spacing w:after="300" w:line="240" w:lineRule="auto"/>
      <w:contextualSpacing/>
    </w:pPr>
    <w:rPr>
      <w:rFonts w:ascii="Corbel" w:hAnsi="Corbel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322A"/>
    <w:rPr>
      <w:rFonts w:ascii="Corbel" w:eastAsia="Times New Roman" w:hAnsi="Corbel"/>
      <w:color w:val="000000"/>
      <w:spacing w:val="5"/>
      <w:kern w:val="28"/>
      <w:sz w:val="52"/>
      <w:szCs w:val="52"/>
      <w:lang w:val="en-GB"/>
    </w:rPr>
  </w:style>
  <w:style w:type="table" w:customStyle="1" w:styleId="LightList-Accent11">
    <w:name w:val="Light List - Accent 11"/>
    <w:basedOn w:val="TableNormal"/>
    <w:uiPriority w:val="61"/>
    <w:rsid w:val="0052322A"/>
    <w:rPr>
      <w:rFonts w:ascii="Corbel" w:eastAsia="Times New Roman" w:hAnsi="Corbel"/>
      <w:sz w:val="22"/>
      <w:szCs w:val="22"/>
      <w:lang w:val="en-GB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544"/>
    <w:rPr>
      <w:rFonts w:eastAsia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544"/>
    <w:rPr>
      <w:rFonts w:eastAsia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nhideWhenUsed/>
    <w:rsid w:val="00223D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23D6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lds">
    <w:name w:val="Bolds"/>
    <w:rsid w:val="00215430"/>
    <w:rPr>
      <w:b/>
      <w:lang w:val="en-US"/>
    </w:rPr>
  </w:style>
  <w:style w:type="paragraph" w:customStyle="1" w:styleId="Cellcenter">
    <w:name w:val="Cell_center"/>
    <w:basedOn w:val="Normal"/>
    <w:rsid w:val="00215430"/>
    <w:pPr>
      <w:spacing w:after="0" w:line="240" w:lineRule="auto"/>
      <w:jc w:val="center"/>
    </w:pPr>
    <w:rPr>
      <w:rFonts w:ascii="Arial Narrow" w:hAnsi="Arial Narrow"/>
      <w:bCs/>
      <w:caps/>
      <w:szCs w:val="24"/>
    </w:rPr>
  </w:style>
  <w:style w:type="paragraph" w:customStyle="1" w:styleId="Cellleft">
    <w:name w:val="Cell_left"/>
    <w:basedOn w:val="Normal"/>
    <w:rsid w:val="00215430"/>
    <w:pPr>
      <w:spacing w:after="0" w:line="240" w:lineRule="auto"/>
      <w:ind w:left="34"/>
    </w:pPr>
    <w:rPr>
      <w:rFonts w:ascii="Arial Narrow" w:hAnsi="Arial Narrow"/>
      <w:szCs w:val="24"/>
    </w:rPr>
  </w:style>
  <w:style w:type="character" w:styleId="HTMLCite">
    <w:name w:val="HTML Cite"/>
    <w:uiPriority w:val="99"/>
    <w:semiHidden/>
    <w:unhideWhenUsed/>
    <w:rsid w:val="00170986"/>
    <w:rPr>
      <w:i/>
      <w:iCs/>
    </w:rPr>
  </w:style>
  <w:style w:type="character" w:styleId="CommentReference">
    <w:name w:val="annotation reference"/>
    <w:uiPriority w:val="99"/>
    <w:semiHidden/>
    <w:unhideWhenUsed/>
    <w:rsid w:val="00D7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A1C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A1C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A1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rsid w:val="009C1B45"/>
    <w:pPr>
      <w:widowControl w:val="0"/>
      <w:autoSpaceDE w:val="0"/>
      <w:autoSpaceDN w:val="0"/>
      <w:adjustRightInd w:val="0"/>
      <w:spacing w:before="180" w:after="60" w:line="240" w:lineRule="auto"/>
      <w:jc w:val="both"/>
    </w:pPr>
    <w:rPr>
      <w:rFonts w:ascii="Times New Roman" w:hAnsi="Times New Roman"/>
      <w:b/>
      <w:bCs/>
    </w:rPr>
  </w:style>
  <w:style w:type="paragraph" w:customStyle="1" w:styleId="Parameters">
    <w:name w:val="Parameters"/>
    <w:basedOn w:val="Normal"/>
    <w:rsid w:val="00AE7148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hAnsi="Times New Roman"/>
    </w:rPr>
  </w:style>
  <w:style w:type="character" w:customStyle="1" w:styleId="Italic">
    <w:name w:val="Italic"/>
    <w:rsid w:val="00AE7148"/>
    <w:rPr>
      <w:i/>
      <w:iCs/>
      <w:lang w:val="en-US"/>
    </w:rPr>
  </w:style>
  <w:style w:type="character" w:customStyle="1" w:styleId="Heading5Char">
    <w:name w:val="Heading 5 Char"/>
    <w:link w:val="Heading5"/>
    <w:uiPriority w:val="9"/>
    <w:semiHidden/>
    <w:rsid w:val="001667AE"/>
    <w:rPr>
      <w:rFonts w:eastAsia="Times New Roman"/>
      <w:b/>
      <w:bCs/>
      <w:i/>
      <w:iCs/>
      <w:sz w:val="26"/>
      <w:szCs w:val="26"/>
      <w:lang w:val="en-US" w:eastAsia="en-US"/>
    </w:rPr>
  </w:style>
  <w:style w:type="character" w:styleId="Strong">
    <w:name w:val="Strong"/>
    <w:qFormat/>
    <w:rsid w:val="00415172"/>
    <w:rPr>
      <w:b/>
      <w:bCs/>
    </w:rPr>
  </w:style>
  <w:style w:type="character" w:customStyle="1" w:styleId="ec824384509-23092008">
    <w:name w:val="ec_824384509-23092008"/>
    <w:rsid w:val="003B3179"/>
    <w:rPr>
      <w:rFonts w:ascii="Verdana" w:hAnsi="Verdana" w:hint="default"/>
      <w:sz w:val="20"/>
      <w:szCs w:val="20"/>
      <w:shd w:val="clear" w:color="auto" w:fill="FFFFFF"/>
    </w:rPr>
  </w:style>
  <w:style w:type="paragraph" w:customStyle="1" w:styleId="ecmsonormal">
    <w:name w:val="ec_msonormal"/>
    <w:basedOn w:val="Normal"/>
    <w:rsid w:val="003B31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"/>
    <w:rsid w:val="00B8657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pple-converted-space">
    <w:name w:val="apple-converted-space"/>
    <w:rsid w:val="00B86579"/>
  </w:style>
  <w:style w:type="paragraph" w:customStyle="1" w:styleId="metod">
    <w:name w:val="metod"/>
    <w:basedOn w:val="BlockText"/>
    <w:rsid w:val="006D5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0" w:right="0" w:firstLine="567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lt-LT" w:eastAsia="ar-SA"/>
    </w:rPr>
  </w:style>
  <w:style w:type="paragraph" w:styleId="BlockText">
    <w:name w:val="Block Text"/>
    <w:basedOn w:val="Normal"/>
    <w:uiPriority w:val="99"/>
    <w:semiHidden/>
    <w:unhideWhenUsed/>
    <w:rsid w:val="006D540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30318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h3">
    <w:name w:val="h3"/>
    <w:basedOn w:val="Normal"/>
    <w:rsid w:val="00303181"/>
    <w:pPr>
      <w:spacing w:after="0" w:line="240" w:lineRule="auto"/>
    </w:pPr>
    <w:rPr>
      <w:rFonts w:ascii="Times New Roman" w:hAnsi="Times New Roman"/>
      <w:i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E00C7"/>
  </w:style>
  <w:style w:type="paragraph" w:customStyle="1" w:styleId="Default">
    <w:name w:val="Default"/>
    <w:rsid w:val="002C2C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D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77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2D56-E8B3-4F94-8FB9-9CC7EE4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ISM vadybos ir ekonomikos universitetas</Company>
  <LinksUpToDate>false</LinksUpToDate>
  <CharactersWithSpaces>7940</CharactersWithSpaces>
  <SharedDoc>false</SharedDoc>
  <HLinks>
    <vt:vector size="18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http://elearning.ism.lt/</vt:lpwstr>
      </vt:variant>
      <vt:variant>
        <vt:lpwstr/>
      </vt:variant>
      <vt:variant>
        <vt:i4>7077967</vt:i4>
      </vt:variant>
      <vt:variant>
        <vt:i4>3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Grėtė Arbačiauskaitė</cp:lastModifiedBy>
  <cp:revision>3</cp:revision>
  <cp:lastPrinted>2020-11-27T15:10:00Z</cp:lastPrinted>
  <dcterms:created xsi:type="dcterms:W3CDTF">2020-12-14T17:10:00Z</dcterms:created>
  <dcterms:modified xsi:type="dcterms:W3CDTF">2021-01-25T11:32:00Z</dcterms:modified>
</cp:coreProperties>
</file>